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18EBD177" w:rsidR="00026EEA" w:rsidRPr="00026EEA" w:rsidRDefault="00026EEA" w:rsidP="00026EEA">
      <w:r>
        <w:rPr>
          <w:b/>
          <w:bCs/>
        </w:rPr>
        <w:t>DESCRI</w:t>
      </w:r>
      <w:r w:rsidR="00F606A6">
        <w:rPr>
          <w:b/>
          <w:bCs/>
        </w:rPr>
        <w:t>ZIONE</w:t>
      </w:r>
    </w:p>
    <w:p w14:paraId="49CD09B1" w14:textId="77777777" w:rsidR="00B07E26" w:rsidRPr="00B07E26" w:rsidRDefault="00B07E26" w:rsidP="00B07E26">
      <w:r w:rsidRPr="00B07E26">
        <w:rPr>
          <w:b/>
          <w:bCs/>
        </w:rPr>
        <w:t>Deeper Underground</w:t>
      </w:r>
      <w:r w:rsidRPr="00B07E26">
        <w:t> di </w:t>
      </w:r>
      <w:r w:rsidRPr="00B07E26">
        <w:rPr>
          <w:b/>
          <w:bCs/>
        </w:rPr>
        <w:t>Top Crop</w:t>
      </w:r>
      <w:r w:rsidRPr="00B07E26">
        <w:t> è un fertilizzante liquido formulato per stimolare la crescita e lo sviluppo delle radici delle piante. Con l'uso di Deeper Underground, almeno una volta alla settimana in base all'irrigazione, aumenterete notevolmente il numero di peli radicali. Oltre a molti altri vantaggi che ti spieghiamo a continuazione.</w:t>
      </w:r>
    </w:p>
    <w:p w14:paraId="59F9B4E0" w14:textId="77777777" w:rsidR="00B07E26" w:rsidRPr="00B07E26" w:rsidRDefault="00B07E26" w:rsidP="00B07E26">
      <w:r w:rsidRPr="00B07E26">
        <w:t>La composizione di Deeper Underground ne consente l'utilizzo fin dai primi giorni di vita della plantula con risultati quasi immediati.</w:t>
      </w:r>
    </w:p>
    <w:p w14:paraId="5B9CCC97" w14:textId="77777777" w:rsidR="00B07E26" w:rsidRPr="00B07E26" w:rsidRDefault="00B07E26" w:rsidP="00B07E26">
      <w:r w:rsidRPr="00B07E26">
        <w:rPr>
          <w:b/>
          <w:bCs/>
        </w:rPr>
        <w:t>COME USARE DEEPER UNDERGROUND DI TOP CROP</w:t>
      </w:r>
    </w:p>
    <w:p w14:paraId="2961A72E" w14:textId="77777777" w:rsidR="00B07E26" w:rsidRPr="00B07E26" w:rsidRDefault="00B07E26" w:rsidP="00B07E26">
      <w:r w:rsidRPr="00B07E26">
        <w:t>Inizia sempre con il dosaggio minimo indicato sull'etichetta del prodotto. In questo caso, con dosaggio iniziale è di 1 ml/l, Deeper Underground di Top Crop deve essere utilizzato solo per irrigazione.</w:t>
      </w:r>
    </w:p>
    <w:p w14:paraId="22575FE3" w14:textId="77777777" w:rsidR="00B07E26" w:rsidRPr="00B07E26" w:rsidRDefault="00B07E26" w:rsidP="00B07E26">
      <w:r w:rsidRPr="00B07E26">
        <w:t>Nella successiva irrigazione è possibile aumentare il dosaggio, fino a 2ml/l. Osserva sempre come le tue piante assimilano i nutrienti per valutare se è necessario aumentare fino al dosaggio finale.</w:t>
      </w:r>
    </w:p>
    <w:p w14:paraId="0D064895" w14:textId="77777777" w:rsidR="00B07E26" w:rsidRPr="00B07E26" w:rsidRDefault="00B07E26" w:rsidP="00B07E26">
      <w:r w:rsidRPr="00B07E26">
        <w:t>Deeper Underground di Top Crop riduce lo stress che la pianta subisce dopo un trapianto, oltre a rivitalizzare le radici danneggiate durante tale processo. Aumenterà anche il contenuto organico del suolo, migliorandone l'aerazione. Ricorda che puoi ampliarne l'applicazione fino all'inizio della fioritura, ma solo una volta alla settimana.</w:t>
      </w:r>
    </w:p>
    <w:p w14:paraId="451B29AF" w14:textId="77777777" w:rsidR="00B07E26" w:rsidRPr="00B07E26" w:rsidRDefault="00B07E26" w:rsidP="00B07E26">
      <w:r w:rsidRPr="00B07E26">
        <w:rPr>
          <w:b/>
          <w:bCs/>
        </w:rPr>
        <w:t>CONSIGLI</w:t>
      </w:r>
    </w:p>
    <w:p w14:paraId="3E1B0933" w14:textId="77777777" w:rsidR="00B07E26" w:rsidRPr="00B07E26" w:rsidRDefault="00B07E26" w:rsidP="00B07E26">
      <w:r w:rsidRPr="00B07E26">
        <w:t>Puoi combinare l'uso di Deeper Underground con altri fertilizzanti Top Crop destinati alla fase di crescita e/o alle radici, come ad esempio </w:t>
      </w:r>
      <w:hyperlink r:id="rId5" w:history="1">
        <w:r w:rsidRPr="00B07E26">
          <w:rPr>
            <w:rStyle w:val="Hipervnculo"/>
          </w:rPr>
          <w:t>Micro Vita</w:t>
        </w:r>
      </w:hyperlink>
      <w:r w:rsidRPr="00B07E26">
        <w:t>. Se vuoi saperne di più su tutti i prodotti Top Crop non dimenticare di dare un'occhiata al nostro canale </w:t>
      </w:r>
      <w:hyperlink r:id="rId6" w:history="1">
        <w:r w:rsidRPr="00B07E26">
          <w:rPr>
            <w:rStyle w:val="Hipervnculo"/>
          </w:rPr>
          <w:t>YouTube</w:t>
        </w:r>
      </w:hyperlink>
      <w:r w:rsidRPr="00B07E26">
        <w:t>.</w:t>
      </w:r>
    </w:p>
    <w:p w14:paraId="2E3CAF36" w14:textId="77777777" w:rsidR="00B07E26" w:rsidRPr="00B07E26" w:rsidRDefault="00B07E26" w:rsidP="00B07E26">
      <w:r w:rsidRPr="00B07E26">
        <w:t>Ti consigliamo di conservare questo fertilizzante in un luogo asciutto, evitando l'esposizione alla luce solare. Conservarlo in questo modo ne manterrà la qualità.</w:t>
      </w:r>
    </w:p>
    <w:p w14:paraId="691A819B" w14:textId="77777777" w:rsidR="00B07E26" w:rsidRPr="00B07E26" w:rsidRDefault="00B07E26" w:rsidP="00B07E26">
      <w:r w:rsidRPr="00B07E26">
        <w:rPr>
          <w:b/>
          <w:bCs/>
        </w:rPr>
        <w:t>FORMATI</w:t>
      </w:r>
    </w:p>
    <w:p w14:paraId="75D48CAE" w14:textId="3C3522EA" w:rsidR="00B07E26" w:rsidRPr="00B07E26" w:rsidRDefault="00B07E26">
      <w:r w:rsidRPr="00B07E26">
        <w:t>Troverai Deeper Underground nel tuo growshop di fiducia nei seguenti formati: 250mL, 1L e 5L.</w:t>
      </w:r>
    </w:p>
    <w:p w14:paraId="7ADA2D43" w14:textId="5F87BFC3" w:rsidR="00E61204" w:rsidRDefault="00026EEA">
      <w:r>
        <w:rPr>
          <w:b/>
          <w:bCs/>
        </w:rPr>
        <w:t>COMPOSI</w:t>
      </w:r>
      <w:r w:rsidR="00F606A6">
        <w:rPr>
          <w:b/>
          <w:bCs/>
        </w:rPr>
        <w:t>ZIONE</w:t>
      </w:r>
    </w:p>
    <w:p w14:paraId="5F575E3F" w14:textId="77777777" w:rsidR="00555BC6" w:rsidRPr="00555BC6" w:rsidRDefault="00555BC6" w:rsidP="00555BC6">
      <w:r w:rsidRPr="00555BC6">
        <w:t>Contiene micronutrienti: Boro (B), Rame (Cu), Ferro (Fe), Manganese (Mn) e Zinco (Zn).</w:t>
      </w:r>
    </w:p>
    <w:p w14:paraId="35C76F27" w14:textId="77777777" w:rsidR="00555BC6" w:rsidRPr="00555BC6" w:rsidRDefault="00555BC6" w:rsidP="00555BC6">
      <w:r w:rsidRPr="00555BC6">
        <w:t>Ricchezze garantite P/P</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5190"/>
        <w:gridCol w:w="516"/>
      </w:tblGrid>
      <w:tr w:rsidR="00555BC6" w:rsidRPr="00555BC6" w14:paraId="0F2F2AFA" w14:textId="77777777" w:rsidTr="00555BC6">
        <w:tc>
          <w:tcPr>
            <w:tcW w:w="0" w:type="auto"/>
            <w:shd w:val="clear" w:color="auto" w:fill="FFFFFF"/>
            <w:vAlign w:val="center"/>
            <w:hideMark/>
          </w:tcPr>
          <w:p w14:paraId="3F0003F5" w14:textId="77777777" w:rsidR="00555BC6" w:rsidRPr="00555BC6" w:rsidRDefault="00555BC6" w:rsidP="00555BC6">
            <w:r w:rsidRPr="00555BC6">
              <w:t>Ossido de magnesio (MgO) solubile in acqua: </w:t>
            </w:r>
          </w:p>
        </w:tc>
        <w:tc>
          <w:tcPr>
            <w:tcW w:w="0" w:type="auto"/>
            <w:shd w:val="clear" w:color="auto" w:fill="FFFFFF"/>
            <w:vAlign w:val="center"/>
            <w:hideMark/>
          </w:tcPr>
          <w:p w14:paraId="7EA4B135" w14:textId="77777777" w:rsidR="00555BC6" w:rsidRPr="00555BC6" w:rsidRDefault="00555BC6" w:rsidP="00555BC6">
            <w:r w:rsidRPr="00555BC6">
              <w:t>1.0% </w:t>
            </w:r>
          </w:p>
        </w:tc>
      </w:tr>
      <w:tr w:rsidR="00555BC6" w:rsidRPr="00555BC6" w14:paraId="1618D10F" w14:textId="77777777" w:rsidTr="00555BC6">
        <w:tc>
          <w:tcPr>
            <w:tcW w:w="0" w:type="auto"/>
            <w:shd w:val="clear" w:color="auto" w:fill="FFFFFF"/>
            <w:vAlign w:val="center"/>
            <w:hideMark/>
          </w:tcPr>
          <w:p w14:paraId="1F9081E1" w14:textId="77777777" w:rsidR="00555BC6" w:rsidRPr="00555BC6" w:rsidRDefault="00555BC6" w:rsidP="00555BC6">
            <w:r w:rsidRPr="00555BC6">
              <w:t>Ossido de magnesio (MgO) chelato da edta: </w:t>
            </w:r>
          </w:p>
        </w:tc>
        <w:tc>
          <w:tcPr>
            <w:tcW w:w="0" w:type="auto"/>
            <w:shd w:val="clear" w:color="auto" w:fill="FFFFFF"/>
            <w:vAlign w:val="center"/>
            <w:hideMark/>
          </w:tcPr>
          <w:p w14:paraId="05D34C0A" w14:textId="77777777" w:rsidR="00555BC6" w:rsidRPr="00555BC6" w:rsidRDefault="00555BC6" w:rsidP="00555BC6">
            <w:r w:rsidRPr="00555BC6">
              <w:t>1.0% </w:t>
            </w:r>
          </w:p>
        </w:tc>
      </w:tr>
      <w:tr w:rsidR="00555BC6" w:rsidRPr="00555BC6" w14:paraId="004B4C6C" w14:textId="77777777" w:rsidTr="00555BC6">
        <w:tc>
          <w:tcPr>
            <w:tcW w:w="0" w:type="auto"/>
            <w:shd w:val="clear" w:color="auto" w:fill="FFFFFF"/>
            <w:vAlign w:val="center"/>
            <w:hideMark/>
          </w:tcPr>
          <w:p w14:paraId="5118F37B" w14:textId="77777777" w:rsidR="00555BC6" w:rsidRPr="00555BC6" w:rsidRDefault="00555BC6" w:rsidP="00555BC6">
            <w:r w:rsidRPr="00555BC6">
              <w:t>Estratto umico totale: </w:t>
            </w:r>
          </w:p>
        </w:tc>
        <w:tc>
          <w:tcPr>
            <w:tcW w:w="0" w:type="auto"/>
            <w:shd w:val="clear" w:color="auto" w:fill="FFFFFF"/>
            <w:vAlign w:val="center"/>
            <w:hideMark/>
          </w:tcPr>
          <w:p w14:paraId="45419704" w14:textId="77777777" w:rsidR="00555BC6" w:rsidRPr="00555BC6" w:rsidRDefault="00555BC6" w:rsidP="00555BC6">
            <w:r w:rsidRPr="00555BC6">
              <w:t>7.0% </w:t>
            </w:r>
          </w:p>
        </w:tc>
      </w:tr>
      <w:tr w:rsidR="00555BC6" w:rsidRPr="00555BC6" w14:paraId="662D9461" w14:textId="77777777" w:rsidTr="00555BC6">
        <w:tc>
          <w:tcPr>
            <w:tcW w:w="0" w:type="auto"/>
            <w:shd w:val="clear" w:color="auto" w:fill="FFFFFF"/>
            <w:vAlign w:val="center"/>
            <w:hideMark/>
          </w:tcPr>
          <w:p w14:paraId="63BF8826" w14:textId="77777777" w:rsidR="00555BC6" w:rsidRPr="00555BC6" w:rsidRDefault="00555BC6" w:rsidP="00555BC6">
            <w:r w:rsidRPr="00555BC6">
              <w:t>Acidi umici:</w:t>
            </w:r>
          </w:p>
        </w:tc>
        <w:tc>
          <w:tcPr>
            <w:tcW w:w="0" w:type="auto"/>
            <w:shd w:val="clear" w:color="auto" w:fill="FFFFFF"/>
            <w:vAlign w:val="center"/>
            <w:hideMark/>
          </w:tcPr>
          <w:p w14:paraId="45D70D7F" w14:textId="77777777" w:rsidR="00555BC6" w:rsidRPr="00555BC6" w:rsidRDefault="00555BC6" w:rsidP="00555BC6">
            <w:r w:rsidRPr="00555BC6">
              <w:t>4.0% </w:t>
            </w:r>
          </w:p>
        </w:tc>
      </w:tr>
      <w:tr w:rsidR="00555BC6" w:rsidRPr="00555BC6" w14:paraId="47F700B7" w14:textId="77777777" w:rsidTr="00555BC6">
        <w:tc>
          <w:tcPr>
            <w:tcW w:w="0" w:type="auto"/>
            <w:shd w:val="clear" w:color="auto" w:fill="FFFFFF"/>
            <w:vAlign w:val="center"/>
            <w:hideMark/>
          </w:tcPr>
          <w:p w14:paraId="7DA245DF" w14:textId="77777777" w:rsidR="00555BC6" w:rsidRPr="00555BC6" w:rsidRDefault="00555BC6" w:rsidP="00555BC6">
            <w:r w:rsidRPr="00555BC6">
              <w:t>Acidi fulvici:</w:t>
            </w:r>
          </w:p>
        </w:tc>
        <w:tc>
          <w:tcPr>
            <w:tcW w:w="0" w:type="auto"/>
            <w:shd w:val="clear" w:color="auto" w:fill="FFFFFF"/>
            <w:vAlign w:val="center"/>
            <w:hideMark/>
          </w:tcPr>
          <w:p w14:paraId="555F66C9" w14:textId="77777777" w:rsidR="00555BC6" w:rsidRPr="00555BC6" w:rsidRDefault="00555BC6" w:rsidP="00555BC6">
            <w:r w:rsidRPr="00555BC6">
              <w:t>3.0% </w:t>
            </w:r>
          </w:p>
        </w:tc>
      </w:tr>
      <w:tr w:rsidR="00555BC6" w:rsidRPr="00555BC6" w14:paraId="243E8D46" w14:textId="77777777" w:rsidTr="00555BC6">
        <w:tc>
          <w:tcPr>
            <w:tcW w:w="0" w:type="auto"/>
            <w:shd w:val="clear" w:color="auto" w:fill="FFFFFF"/>
            <w:vAlign w:val="center"/>
            <w:hideMark/>
          </w:tcPr>
          <w:p w14:paraId="69E34232" w14:textId="77777777" w:rsidR="00555BC6" w:rsidRPr="00555BC6" w:rsidRDefault="00555BC6" w:rsidP="00555BC6">
            <w:r w:rsidRPr="00555BC6">
              <w:t>Umato Potassico solubile in acqua estratto da leonardite. </w:t>
            </w:r>
          </w:p>
        </w:tc>
        <w:tc>
          <w:tcPr>
            <w:tcW w:w="0" w:type="auto"/>
            <w:shd w:val="clear" w:color="auto" w:fill="FFFFFF"/>
            <w:vAlign w:val="center"/>
            <w:hideMark/>
          </w:tcPr>
          <w:p w14:paraId="4E6F7093" w14:textId="77777777" w:rsidR="00555BC6" w:rsidRPr="00555BC6" w:rsidRDefault="00555BC6" w:rsidP="00555BC6"/>
        </w:tc>
      </w:tr>
      <w:tr w:rsidR="00555BC6" w:rsidRPr="00555BC6" w14:paraId="5C2BE710" w14:textId="77777777" w:rsidTr="00555BC6">
        <w:tc>
          <w:tcPr>
            <w:tcW w:w="0" w:type="auto"/>
            <w:shd w:val="clear" w:color="auto" w:fill="FFFFFF"/>
            <w:vAlign w:val="center"/>
            <w:hideMark/>
          </w:tcPr>
          <w:p w14:paraId="0EBE700E" w14:textId="77777777" w:rsidR="00555BC6" w:rsidRPr="00555BC6" w:rsidRDefault="00555BC6" w:rsidP="00555BC6">
            <w:r w:rsidRPr="00555BC6">
              <w:lastRenderedPageBreak/>
              <w:t>pH:</w:t>
            </w:r>
          </w:p>
        </w:tc>
        <w:tc>
          <w:tcPr>
            <w:tcW w:w="0" w:type="auto"/>
            <w:shd w:val="clear" w:color="auto" w:fill="FFFFFF"/>
            <w:vAlign w:val="center"/>
            <w:hideMark/>
          </w:tcPr>
          <w:p w14:paraId="3ADD7059" w14:textId="77777777" w:rsidR="00555BC6" w:rsidRPr="00555BC6" w:rsidRDefault="00555BC6" w:rsidP="00555BC6">
            <w:r w:rsidRPr="00555BC6">
              <w:t>9.4</w:t>
            </w:r>
          </w:p>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E23B7"/>
    <w:multiLevelType w:val="multilevel"/>
    <w:tmpl w:val="B2424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52183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1A0752"/>
    <w:rsid w:val="00485BFB"/>
    <w:rsid w:val="00555BC6"/>
    <w:rsid w:val="00746EAF"/>
    <w:rsid w:val="00B07E26"/>
    <w:rsid w:val="00E61204"/>
    <w:rsid w:val="00F606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482744457">
      <w:bodyDiv w:val="1"/>
      <w:marLeft w:val="0"/>
      <w:marRight w:val="0"/>
      <w:marTop w:val="0"/>
      <w:marBottom w:val="0"/>
      <w:divBdr>
        <w:top w:val="none" w:sz="0" w:space="0" w:color="auto"/>
        <w:left w:val="none" w:sz="0" w:space="0" w:color="auto"/>
        <w:bottom w:val="none" w:sz="0" w:space="0" w:color="auto"/>
        <w:right w:val="none" w:sz="0" w:space="0" w:color="auto"/>
      </w:divBdr>
    </w:div>
    <w:div w:id="797114949">
      <w:bodyDiv w:val="1"/>
      <w:marLeft w:val="0"/>
      <w:marRight w:val="0"/>
      <w:marTop w:val="0"/>
      <w:marBottom w:val="0"/>
      <w:divBdr>
        <w:top w:val="none" w:sz="0" w:space="0" w:color="auto"/>
        <w:left w:val="none" w:sz="0" w:space="0" w:color="auto"/>
        <w:bottom w:val="none" w:sz="0" w:space="0" w:color="auto"/>
        <w:right w:val="none" w:sz="0" w:space="0" w:color="auto"/>
      </w:divBdr>
    </w:div>
    <w:div w:id="889612555">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128359964">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743797350">
      <w:bodyDiv w:val="1"/>
      <w:marLeft w:val="0"/>
      <w:marRight w:val="0"/>
      <w:marTop w:val="0"/>
      <w:marBottom w:val="0"/>
      <w:divBdr>
        <w:top w:val="none" w:sz="0" w:space="0" w:color="auto"/>
        <w:left w:val="none" w:sz="0" w:space="0" w:color="auto"/>
        <w:bottom w:val="none" w:sz="0" w:space="0" w:color="auto"/>
        <w:right w:val="none" w:sz="0" w:space="0" w:color="auto"/>
      </w:divBdr>
    </w:div>
    <w:div w:id="1841042646">
      <w:bodyDiv w:val="1"/>
      <w:marLeft w:val="0"/>
      <w:marRight w:val="0"/>
      <w:marTop w:val="0"/>
      <w:marBottom w:val="0"/>
      <w:divBdr>
        <w:top w:val="none" w:sz="0" w:space="0" w:color="auto"/>
        <w:left w:val="none" w:sz="0" w:space="0" w:color="auto"/>
        <w:bottom w:val="none" w:sz="0" w:space="0" w:color="auto"/>
        <w:right w:val="none" w:sz="0" w:space="0" w:color="auto"/>
      </w:divBdr>
    </w:div>
    <w:div w:id="212175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channel/UCI6jiodEhSPt3Wqf1VEnXJQ" TargetMode="External"/><Relationship Id="rId5" Type="http://schemas.openxmlformats.org/officeDocument/2006/relationships/hyperlink" Target="https://topcropfert.com/shop/it/fertilizzanti-solidi/30-micro-vita.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361</Words>
  <Characters>1986</Characters>
  <Application>Microsoft Office Word</Application>
  <DocSecurity>0</DocSecurity>
  <Lines>16</Lines>
  <Paragraphs>4</Paragraphs>
  <ScaleCrop>false</ScaleCrop>
  <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10</cp:revision>
  <dcterms:created xsi:type="dcterms:W3CDTF">2022-11-07T15:25:00Z</dcterms:created>
  <dcterms:modified xsi:type="dcterms:W3CDTF">2022-11-22T12:58:00Z</dcterms:modified>
</cp:coreProperties>
</file>