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555DF8F0" w14:textId="77777777" w:rsidR="00FB756D" w:rsidRPr="00FB756D" w:rsidRDefault="00FB756D" w:rsidP="00FB756D">
      <w:r w:rsidRPr="00FB756D">
        <w:rPr>
          <w:b/>
          <w:bCs/>
        </w:rPr>
        <w:t>Top Veg</w:t>
      </w:r>
      <w:r w:rsidRPr="00FB756D">
        <w:t> by </w:t>
      </w:r>
      <w:r w:rsidRPr="00FB756D">
        <w:rPr>
          <w:b/>
          <w:bCs/>
        </w:rPr>
        <w:t>Top Crop</w:t>
      </w:r>
      <w:r w:rsidRPr="00FB756D">
        <w:t> is a liquid fertilizer mainly intended for the growth of our plants. Its composition in humic and fulvic acids also helps plants to reinforce their defenses against diseases and/or pests. As well as in stress situations.</w:t>
      </w:r>
    </w:p>
    <w:p w14:paraId="1123F77E" w14:textId="77777777" w:rsidR="00FB756D" w:rsidRPr="00FB756D" w:rsidRDefault="00FB756D" w:rsidP="00FB756D">
      <w:r w:rsidRPr="00FB756D">
        <w:rPr>
          <w:b/>
          <w:bCs/>
        </w:rPr>
        <w:t>HOW TO USE TOP VEG FROM TOP CROP</w:t>
      </w:r>
    </w:p>
    <w:p w14:paraId="2BDA4A42" w14:textId="77777777" w:rsidR="00FB756D" w:rsidRPr="00FB756D" w:rsidRDefault="00FB756D" w:rsidP="00FB756D">
      <w:r w:rsidRPr="00FB756D">
        <w:t>Top Veg should only be used through irrigation, respecting the doses indicated on the product label. Start use the third week after planting the seed. Always start with the minimum dose of 2 ml/l and progressively increase over the following uses, up to the maximum of 4 ml/l. Remember, you should use Top Veg once a week.</w:t>
      </w:r>
    </w:p>
    <w:p w14:paraId="705F8344" w14:textId="77777777" w:rsidR="00FB756D" w:rsidRPr="00FB756D" w:rsidRDefault="00FB756D" w:rsidP="00FB756D">
      <w:r w:rsidRPr="00FB756D">
        <w:t>Top Crop’s Top Veg also helps regulate soil pH and boosts chlorophyll levels.</w:t>
      </w:r>
    </w:p>
    <w:p w14:paraId="1B3BB7E0" w14:textId="77777777" w:rsidR="00FB756D" w:rsidRPr="00FB756D" w:rsidRDefault="00FB756D" w:rsidP="00FB756D">
      <w:r w:rsidRPr="00FB756D">
        <w:rPr>
          <w:b/>
          <w:bCs/>
        </w:rPr>
        <w:t>TIPS</w:t>
      </w:r>
    </w:p>
    <w:p w14:paraId="5D09BCB4" w14:textId="77777777" w:rsidR="00FB756D" w:rsidRPr="00FB756D" w:rsidRDefault="00FB756D" w:rsidP="00FB756D">
      <w:r w:rsidRPr="00FB756D">
        <w:t>You can combine Top Veg with other Top Crop fertilisers to help plants grow and with </w:t>
      </w:r>
      <w:hyperlink r:id="rId5" w:history="1">
        <w:r w:rsidRPr="00FB756D">
          <w:rPr>
            <w:rStyle w:val="Hipervnculo"/>
          </w:rPr>
          <w:t>Top Bloom</w:t>
        </w:r>
      </w:hyperlink>
      <w:r w:rsidRPr="00FB756D">
        <w:t> for the first weeks of flowering. Have a look to </w:t>
      </w:r>
      <w:hyperlink r:id="rId6" w:history="1">
        <w:r w:rsidRPr="00FB756D">
          <w:rPr>
            <w:rStyle w:val="Hipervnculo"/>
          </w:rPr>
          <w:t>the crop table of Top Crop</w:t>
        </w:r>
      </w:hyperlink>
      <w:r w:rsidRPr="00FB756D">
        <w:t> to guide you in the applications of each product. Shake the product well before each use.</w:t>
      </w:r>
    </w:p>
    <w:p w14:paraId="5999254C" w14:textId="77777777" w:rsidR="00FB756D" w:rsidRPr="00FB756D" w:rsidRDefault="00FB756D" w:rsidP="00FB756D">
      <w:r w:rsidRPr="00FB756D">
        <w:t>Top Veg improves soil structure, as well as its ability to retain water and fertiliser. We recommend storing this fertiliser in a dry place, out of direct sunlight. This will help maintain the quality of the product.</w:t>
      </w:r>
    </w:p>
    <w:p w14:paraId="6338C1A1" w14:textId="77777777" w:rsidR="00FB756D" w:rsidRPr="00FB756D" w:rsidRDefault="00FB756D" w:rsidP="00FB756D">
      <w:r w:rsidRPr="00FB756D">
        <w:rPr>
          <w:b/>
          <w:bCs/>
        </w:rPr>
        <w:t>FORMATS</w:t>
      </w:r>
    </w:p>
    <w:p w14:paraId="13692258" w14:textId="77777777" w:rsidR="00FB756D" w:rsidRPr="00FB756D" w:rsidRDefault="00FB756D" w:rsidP="00FB756D">
      <w:r w:rsidRPr="00FB756D">
        <w:t>You’ll find Top Veg at your favourite growshop in 1L, 5L and 10L formats.</w:t>
      </w:r>
    </w:p>
    <w:p w14:paraId="7ADA2D43" w14:textId="2F16E9A2" w:rsidR="00E61204" w:rsidRDefault="000E522E">
      <w:r>
        <w:rPr>
          <w:b/>
          <w:bCs/>
        </w:rPr>
        <w:t>C</w:t>
      </w:r>
      <w:r w:rsidR="00026EEA">
        <w:rPr>
          <w:b/>
          <w:bCs/>
        </w:rPr>
        <w:t>OMPOSI</w:t>
      </w:r>
      <w:r w:rsidR="00926239">
        <w:rPr>
          <w:b/>
          <w:bCs/>
        </w:rPr>
        <w:t>TION</w:t>
      </w:r>
    </w:p>
    <w:p w14:paraId="1C996365" w14:textId="77777777" w:rsidR="00E56BB6" w:rsidRPr="00E56BB6" w:rsidRDefault="00E56BB6" w:rsidP="00E56BB6">
      <w:r w:rsidRPr="00E56BB6">
        <w:t>GUARANTEED RICHES % (W/W)</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3816"/>
        <w:gridCol w:w="1794"/>
      </w:tblGrid>
      <w:tr w:rsidR="00E56BB6" w:rsidRPr="00E56BB6" w14:paraId="363B9124" w14:textId="77777777" w:rsidTr="00E56BB6">
        <w:tc>
          <w:tcPr>
            <w:tcW w:w="0" w:type="auto"/>
            <w:shd w:val="clear" w:color="auto" w:fill="FFFFFF"/>
            <w:vAlign w:val="center"/>
            <w:hideMark/>
          </w:tcPr>
          <w:p w14:paraId="4386D928" w14:textId="77777777" w:rsidR="00E56BB6" w:rsidRPr="00E56BB6" w:rsidRDefault="00E56BB6" w:rsidP="00E56BB6">
            <w:r w:rsidRPr="00E56BB6">
              <w:t>Total nitrogen:</w:t>
            </w:r>
          </w:p>
        </w:tc>
        <w:tc>
          <w:tcPr>
            <w:tcW w:w="0" w:type="auto"/>
            <w:shd w:val="clear" w:color="auto" w:fill="FFFFFF"/>
            <w:vAlign w:val="center"/>
            <w:hideMark/>
          </w:tcPr>
          <w:p w14:paraId="2745A79A" w14:textId="77777777" w:rsidR="00E56BB6" w:rsidRPr="00E56BB6" w:rsidRDefault="00E56BB6" w:rsidP="00E56BB6">
            <w:r w:rsidRPr="00E56BB6">
              <w:t>9.0 %</w:t>
            </w:r>
          </w:p>
        </w:tc>
      </w:tr>
      <w:tr w:rsidR="00E56BB6" w:rsidRPr="00E56BB6" w14:paraId="7DF74AD7" w14:textId="77777777" w:rsidTr="00E56BB6">
        <w:tc>
          <w:tcPr>
            <w:tcW w:w="0" w:type="auto"/>
            <w:shd w:val="clear" w:color="auto" w:fill="FFFFFF"/>
            <w:vAlign w:val="center"/>
            <w:hideMark/>
          </w:tcPr>
          <w:p w14:paraId="263BF5E2" w14:textId="77777777" w:rsidR="00E56BB6" w:rsidRPr="00E56BB6" w:rsidRDefault="00E56BB6" w:rsidP="00E56BB6">
            <w:r w:rsidRPr="00E56BB6">
              <w:t>Nitric nitrogen:</w:t>
            </w:r>
          </w:p>
        </w:tc>
        <w:tc>
          <w:tcPr>
            <w:tcW w:w="0" w:type="auto"/>
            <w:shd w:val="clear" w:color="auto" w:fill="FFFFFF"/>
            <w:vAlign w:val="center"/>
            <w:hideMark/>
          </w:tcPr>
          <w:p w14:paraId="6554B6D7" w14:textId="77777777" w:rsidR="00E56BB6" w:rsidRPr="00E56BB6" w:rsidRDefault="00E56BB6" w:rsidP="00E56BB6">
            <w:r w:rsidRPr="00E56BB6">
              <w:t>0.6 %</w:t>
            </w:r>
          </w:p>
        </w:tc>
      </w:tr>
      <w:tr w:rsidR="00E56BB6" w:rsidRPr="00E56BB6" w14:paraId="65F393FD" w14:textId="77777777" w:rsidTr="00E56BB6">
        <w:tc>
          <w:tcPr>
            <w:tcW w:w="0" w:type="auto"/>
            <w:shd w:val="clear" w:color="auto" w:fill="FFFFFF"/>
            <w:vAlign w:val="center"/>
            <w:hideMark/>
          </w:tcPr>
          <w:p w14:paraId="12FF1A29" w14:textId="77777777" w:rsidR="00E56BB6" w:rsidRPr="00E56BB6" w:rsidRDefault="00E56BB6" w:rsidP="00E56BB6">
            <w:r w:rsidRPr="00E56BB6">
              <w:t>Ureic nitrogen:</w:t>
            </w:r>
          </w:p>
        </w:tc>
        <w:tc>
          <w:tcPr>
            <w:tcW w:w="0" w:type="auto"/>
            <w:shd w:val="clear" w:color="auto" w:fill="FFFFFF"/>
            <w:vAlign w:val="center"/>
            <w:hideMark/>
          </w:tcPr>
          <w:p w14:paraId="5F9B5AB4" w14:textId="77777777" w:rsidR="00E56BB6" w:rsidRPr="00E56BB6" w:rsidRDefault="00E56BB6" w:rsidP="00E56BB6">
            <w:r w:rsidRPr="00E56BB6">
              <w:t>8.4 %</w:t>
            </w:r>
          </w:p>
        </w:tc>
      </w:tr>
      <w:tr w:rsidR="00E56BB6" w:rsidRPr="00E56BB6" w14:paraId="315FA5B3" w14:textId="77777777" w:rsidTr="00E56BB6">
        <w:tc>
          <w:tcPr>
            <w:tcW w:w="0" w:type="auto"/>
            <w:shd w:val="clear" w:color="auto" w:fill="FFFFFF"/>
            <w:vAlign w:val="center"/>
            <w:hideMark/>
          </w:tcPr>
          <w:p w14:paraId="4C8140A1" w14:textId="77777777" w:rsidR="00E56BB6" w:rsidRPr="00E56BB6" w:rsidRDefault="00E56BB6" w:rsidP="00E56BB6">
            <w:r w:rsidRPr="00E56BB6">
              <w:t>Phosphorus pentoxide (P2O5)soluble in water:</w:t>
            </w:r>
          </w:p>
        </w:tc>
        <w:tc>
          <w:tcPr>
            <w:tcW w:w="0" w:type="auto"/>
            <w:shd w:val="clear" w:color="auto" w:fill="FFFFFF"/>
            <w:vAlign w:val="center"/>
            <w:hideMark/>
          </w:tcPr>
          <w:p w14:paraId="159933A9" w14:textId="77777777" w:rsidR="00E56BB6" w:rsidRPr="00E56BB6" w:rsidRDefault="00E56BB6" w:rsidP="00E56BB6">
            <w:r w:rsidRPr="00E56BB6">
              <w:t>4.0%</w:t>
            </w:r>
          </w:p>
        </w:tc>
      </w:tr>
      <w:tr w:rsidR="00E56BB6" w:rsidRPr="00E56BB6" w14:paraId="6F79D96F" w14:textId="77777777" w:rsidTr="00E56BB6">
        <w:tc>
          <w:tcPr>
            <w:tcW w:w="0" w:type="auto"/>
            <w:shd w:val="clear" w:color="auto" w:fill="FFFFFF"/>
            <w:vAlign w:val="center"/>
            <w:hideMark/>
          </w:tcPr>
          <w:p w14:paraId="3D648C8F" w14:textId="77777777" w:rsidR="00E56BB6" w:rsidRPr="00E56BB6" w:rsidRDefault="00E56BB6" w:rsidP="00E56BB6">
            <w:r w:rsidRPr="00E56BB6">
              <w:t>Potassium oxide (K2O) soluble in water:</w:t>
            </w:r>
          </w:p>
        </w:tc>
        <w:tc>
          <w:tcPr>
            <w:tcW w:w="0" w:type="auto"/>
            <w:shd w:val="clear" w:color="auto" w:fill="FFFFFF"/>
            <w:vAlign w:val="center"/>
            <w:hideMark/>
          </w:tcPr>
          <w:p w14:paraId="55711D32" w14:textId="77777777" w:rsidR="00E56BB6" w:rsidRPr="00E56BB6" w:rsidRDefault="00E56BB6" w:rsidP="00E56BB6">
            <w:r w:rsidRPr="00E56BB6">
              <w:t>8.0%</w:t>
            </w:r>
          </w:p>
        </w:tc>
      </w:tr>
      <w:tr w:rsidR="00E56BB6" w:rsidRPr="00E56BB6" w14:paraId="6E11A402" w14:textId="77777777" w:rsidTr="00E56BB6">
        <w:tc>
          <w:tcPr>
            <w:tcW w:w="0" w:type="auto"/>
            <w:shd w:val="clear" w:color="auto" w:fill="FFFFFF"/>
            <w:vAlign w:val="center"/>
            <w:hideMark/>
          </w:tcPr>
          <w:p w14:paraId="30976219" w14:textId="77777777" w:rsidR="00E56BB6" w:rsidRPr="00E56BB6" w:rsidRDefault="00E56BB6" w:rsidP="00E56BB6">
            <w:r w:rsidRPr="00E56BB6">
              <w:t>Boron (B) soluble in water:</w:t>
            </w:r>
          </w:p>
        </w:tc>
        <w:tc>
          <w:tcPr>
            <w:tcW w:w="0" w:type="auto"/>
            <w:shd w:val="clear" w:color="auto" w:fill="FFFFFF"/>
            <w:vAlign w:val="center"/>
            <w:hideMark/>
          </w:tcPr>
          <w:p w14:paraId="3A9B2CC7" w14:textId="77777777" w:rsidR="00E56BB6" w:rsidRPr="00E56BB6" w:rsidRDefault="00E56BB6" w:rsidP="00E56BB6">
            <w:r w:rsidRPr="00E56BB6">
              <w:t>0.02%</w:t>
            </w:r>
          </w:p>
        </w:tc>
      </w:tr>
      <w:tr w:rsidR="00E56BB6" w:rsidRPr="00E56BB6" w14:paraId="3E83B8FC" w14:textId="77777777" w:rsidTr="00E56BB6">
        <w:tc>
          <w:tcPr>
            <w:tcW w:w="0" w:type="auto"/>
            <w:shd w:val="clear" w:color="auto" w:fill="FFFFFF"/>
            <w:vAlign w:val="center"/>
            <w:hideMark/>
          </w:tcPr>
          <w:p w14:paraId="35CDD923" w14:textId="77777777" w:rsidR="00E56BB6" w:rsidRPr="00E56BB6" w:rsidRDefault="00E56BB6" w:rsidP="00E56BB6">
            <w:r w:rsidRPr="00E56BB6">
              <w:t>Copper (Cu) soluble in water:</w:t>
            </w:r>
          </w:p>
        </w:tc>
        <w:tc>
          <w:tcPr>
            <w:tcW w:w="0" w:type="auto"/>
            <w:shd w:val="clear" w:color="auto" w:fill="FFFFFF"/>
            <w:vAlign w:val="center"/>
            <w:hideMark/>
          </w:tcPr>
          <w:p w14:paraId="350FE9A9" w14:textId="77777777" w:rsidR="00E56BB6" w:rsidRPr="00E56BB6" w:rsidRDefault="00E56BB6" w:rsidP="00E56BB6">
            <w:r w:rsidRPr="00E56BB6">
              <w:t>0.006% chelated by EDTA</w:t>
            </w:r>
          </w:p>
        </w:tc>
      </w:tr>
      <w:tr w:rsidR="00E56BB6" w:rsidRPr="00E56BB6" w14:paraId="4AFDA270" w14:textId="77777777" w:rsidTr="00E56BB6">
        <w:tc>
          <w:tcPr>
            <w:tcW w:w="0" w:type="auto"/>
            <w:shd w:val="clear" w:color="auto" w:fill="FFFFFF"/>
            <w:vAlign w:val="center"/>
            <w:hideMark/>
          </w:tcPr>
          <w:p w14:paraId="5E5C650D" w14:textId="77777777" w:rsidR="00E56BB6" w:rsidRPr="00E56BB6" w:rsidRDefault="00E56BB6" w:rsidP="00E56BB6">
            <w:r w:rsidRPr="00E56BB6">
              <w:t>Iron (Fe) soluble in water:</w:t>
            </w:r>
          </w:p>
        </w:tc>
        <w:tc>
          <w:tcPr>
            <w:tcW w:w="0" w:type="auto"/>
            <w:shd w:val="clear" w:color="auto" w:fill="FFFFFF"/>
            <w:vAlign w:val="center"/>
            <w:hideMark/>
          </w:tcPr>
          <w:p w14:paraId="199D84D5" w14:textId="77777777" w:rsidR="00E56BB6" w:rsidRPr="00E56BB6" w:rsidRDefault="00E56BB6" w:rsidP="00E56BB6">
            <w:r w:rsidRPr="00E56BB6">
              <w:t>0.10% chelated by EDDHSA</w:t>
            </w:r>
          </w:p>
        </w:tc>
      </w:tr>
      <w:tr w:rsidR="00E56BB6" w:rsidRPr="00E56BB6" w14:paraId="645E5C20" w14:textId="77777777" w:rsidTr="00E56BB6">
        <w:tc>
          <w:tcPr>
            <w:tcW w:w="0" w:type="auto"/>
            <w:shd w:val="clear" w:color="auto" w:fill="FFFFFF"/>
            <w:vAlign w:val="center"/>
            <w:hideMark/>
          </w:tcPr>
          <w:p w14:paraId="7F4D9254" w14:textId="77777777" w:rsidR="00E56BB6" w:rsidRPr="00E56BB6" w:rsidRDefault="00E56BB6" w:rsidP="00E56BB6">
            <w:r w:rsidRPr="00E56BB6">
              <w:t>Manganese (Mn) soluble in water:</w:t>
            </w:r>
          </w:p>
        </w:tc>
        <w:tc>
          <w:tcPr>
            <w:tcW w:w="0" w:type="auto"/>
            <w:shd w:val="clear" w:color="auto" w:fill="FFFFFF"/>
            <w:vAlign w:val="center"/>
            <w:hideMark/>
          </w:tcPr>
          <w:p w14:paraId="5DF39314" w14:textId="77777777" w:rsidR="00E56BB6" w:rsidRPr="00E56BB6" w:rsidRDefault="00E56BB6" w:rsidP="00E56BB6">
            <w:r w:rsidRPr="00E56BB6">
              <w:t>0.02% chelated by EDTA</w:t>
            </w:r>
          </w:p>
        </w:tc>
      </w:tr>
      <w:tr w:rsidR="00E56BB6" w:rsidRPr="00E56BB6" w14:paraId="59D7BFF6" w14:textId="77777777" w:rsidTr="00E56BB6">
        <w:tc>
          <w:tcPr>
            <w:tcW w:w="0" w:type="auto"/>
            <w:shd w:val="clear" w:color="auto" w:fill="FFFFFF"/>
            <w:vAlign w:val="center"/>
            <w:hideMark/>
          </w:tcPr>
          <w:p w14:paraId="13012D1E" w14:textId="77777777" w:rsidR="00E56BB6" w:rsidRPr="00E56BB6" w:rsidRDefault="00E56BB6" w:rsidP="00E56BB6">
            <w:r w:rsidRPr="00E56BB6">
              <w:lastRenderedPageBreak/>
              <w:t>Zinc (Zn) soluble in water:</w:t>
            </w:r>
          </w:p>
        </w:tc>
        <w:tc>
          <w:tcPr>
            <w:tcW w:w="0" w:type="auto"/>
            <w:shd w:val="clear" w:color="auto" w:fill="FFFFFF"/>
            <w:vAlign w:val="center"/>
            <w:hideMark/>
          </w:tcPr>
          <w:p w14:paraId="2F2C842F" w14:textId="77777777" w:rsidR="00E56BB6" w:rsidRPr="00E56BB6" w:rsidRDefault="00E56BB6" w:rsidP="00E56BB6">
            <w:r w:rsidRPr="00E56BB6">
              <w:t>0.016% chelated by EDTA</w:t>
            </w:r>
          </w:p>
        </w:tc>
      </w:tr>
      <w:tr w:rsidR="00E56BB6" w:rsidRPr="00E56BB6" w14:paraId="2F74F4A7" w14:textId="77777777" w:rsidTr="00E56BB6">
        <w:tc>
          <w:tcPr>
            <w:tcW w:w="0" w:type="auto"/>
            <w:shd w:val="clear" w:color="auto" w:fill="FFFFFF"/>
            <w:vAlign w:val="center"/>
            <w:hideMark/>
          </w:tcPr>
          <w:p w14:paraId="44EC25BF" w14:textId="77777777" w:rsidR="00E56BB6" w:rsidRPr="00E56BB6" w:rsidRDefault="00E56BB6" w:rsidP="00E56BB6">
            <w:r w:rsidRPr="00E56BB6">
              <w:t>Total humic extract:</w:t>
            </w:r>
          </w:p>
        </w:tc>
        <w:tc>
          <w:tcPr>
            <w:tcW w:w="0" w:type="auto"/>
            <w:shd w:val="clear" w:color="auto" w:fill="FFFFFF"/>
            <w:vAlign w:val="center"/>
            <w:hideMark/>
          </w:tcPr>
          <w:p w14:paraId="3270E103" w14:textId="77777777" w:rsidR="00E56BB6" w:rsidRPr="00E56BB6" w:rsidRDefault="00E56BB6" w:rsidP="00E56BB6">
            <w:r w:rsidRPr="00E56BB6">
              <w:t>6.0% </w:t>
            </w:r>
          </w:p>
        </w:tc>
      </w:tr>
      <w:tr w:rsidR="00E56BB6" w:rsidRPr="00E56BB6" w14:paraId="61B963A9" w14:textId="77777777" w:rsidTr="00E56BB6">
        <w:tc>
          <w:tcPr>
            <w:tcW w:w="0" w:type="auto"/>
            <w:shd w:val="clear" w:color="auto" w:fill="FFFFFF"/>
            <w:vAlign w:val="center"/>
            <w:hideMark/>
          </w:tcPr>
          <w:p w14:paraId="34DA65DD" w14:textId="77777777" w:rsidR="00E56BB6" w:rsidRPr="00E56BB6" w:rsidRDefault="00E56BB6" w:rsidP="00E56BB6">
            <w:r w:rsidRPr="00E56BB6">
              <w:t>Humic acids:</w:t>
            </w:r>
          </w:p>
        </w:tc>
        <w:tc>
          <w:tcPr>
            <w:tcW w:w="0" w:type="auto"/>
            <w:shd w:val="clear" w:color="auto" w:fill="FFFFFF"/>
            <w:vAlign w:val="center"/>
            <w:hideMark/>
          </w:tcPr>
          <w:p w14:paraId="398295CB" w14:textId="77777777" w:rsidR="00E56BB6" w:rsidRPr="00E56BB6" w:rsidRDefault="00E56BB6" w:rsidP="00E56BB6">
            <w:r w:rsidRPr="00E56BB6">
              <w:t>3.4%</w:t>
            </w:r>
          </w:p>
        </w:tc>
      </w:tr>
      <w:tr w:rsidR="00E56BB6" w:rsidRPr="00E56BB6" w14:paraId="2BF334A0" w14:textId="77777777" w:rsidTr="00E56BB6">
        <w:tc>
          <w:tcPr>
            <w:tcW w:w="0" w:type="auto"/>
            <w:shd w:val="clear" w:color="auto" w:fill="FFFFFF"/>
            <w:vAlign w:val="center"/>
            <w:hideMark/>
          </w:tcPr>
          <w:p w14:paraId="20313F36" w14:textId="77777777" w:rsidR="00E56BB6" w:rsidRPr="00E56BB6" w:rsidRDefault="00E56BB6" w:rsidP="00E56BB6">
            <w:r w:rsidRPr="00E56BB6">
              <w:t>Fulvic acids:</w:t>
            </w:r>
          </w:p>
        </w:tc>
        <w:tc>
          <w:tcPr>
            <w:tcW w:w="0" w:type="auto"/>
            <w:shd w:val="clear" w:color="auto" w:fill="FFFFFF"/>
            <w:vAlign w:val="center"/>
            <w:hideMark/>
          </w:tcPr>
          <w:p w14:paraId="1C52B4EA" w14:textId="77777777" w:rsidR="00E56BB6" w:rsidRPr="00E56BB6" w:rsidRDefault="00E56BB6" w:rsidP="00E56BB6">
            <w:r w:rsidRPr="00E56BB6">
              <w:t>2.6%</w:t>
            </w:r>
          </w:p>
        </w:tc>
      </w:tr>
      <w:tr w:rsidR="00E56BB6" w:rsidRPr="00E56BB6" w14:paraId="6E0CA6DE" w14:textId="77777777" w:rsidTr="00E56BB6">
        <w:tc>
          <w:tcPr>
            <w:tcW w:w="0" w:type="auto"/>
            <w:shd w:val="clear" w:color="auto" w:fill="FFFFFF"/>
            <w:vAlign w:val="center"/>
            <w:hideMark/>
          </w:tcPr>
          <w:p w14:paraId="2C3699C5" w14:textId="77777777" w:rsidR="00E56BB6" w:rsidRPr="00E56BB6" w:rsidRDefault="00E56BB6" w:rsidP="00E56BB6">
            <w:r w:rsidRPr="00E56BB6">
              <w:t>Water soluble potassium humates extracted from leonardite.</w:t>
            </w:r>
          </w:p>
        </w:tc>
        <w:tc>
          <w:tcPr>
            <w:tcW w:w="0" w:type="auto"/>
            <w:shd w:val="clear" w:color="auto" w:fill="FFFFFF"/>
            <w:vAlign w:val="center"/>
            <w:hideMark/>
          </w:tcPr>
          <w:p w14:paraId="45B5E485" w14:textId="77777777" w:rsidR="00E56BB6" w:rsidRPr="00E56BB6" w:rsidRDefault="00E56BB6" w:rsidP="00E56BB6"/>
        </w:tc>
      </w:tr>
      <w:tr w:rsidR="00E56BB6" w:rsidRPr="00E56BB6" w14:paraId="43073553" w14:textId="77777777" w:rsidTr="00E56BB6">
        <w:tc>
          <w:tcPr>
            <w:tcW w:w="0" w:type="auto"/>
            <w:shd w:val="clear" w:color="auto" w:fill="FFFFFF"/>
            <w:vAlign w:val="center"/>
            <w:hideMark/>
          </w:tcPr>
          <w:p w14:paraId="766A89B5" w14:textId="77777777" w:rsidR="00E56BB6" w:rsidRPr="00E56BB6" w:rsidRDefault="00E56BB6" w:rsidP="00E56BB6">
            <w:r w:rsidRPr="00E56BB6">
              <w:t>pH</w:t>
            </w:r>
          </w:p>
        </w:tc>
        <w:tc>
          <w:tcPr>
            <w:tcW w:w="0" w:type="auto"/>
            <w:shd w:val="clear" w:color="auto" w:fill="FFFFFF"/>
            <w:vAlign w:val="center"/>
            <w:hideMark/>
          </w:tcPr>
          <w:p w14:paraId="7031D6B8" w14:textId="77777777" w:rsidR="00E56BB6" w:rsidRPr="00E56BB6" w:rsidRDefault="00E56BB6" w:rsidP="00E56BB6">
            <w:r w:rsidRPr="00E56BB6">
              <w:t>7.0</w:t>
            </w:r>
          </w:p>
        </w:tc>
      </w:tr>
      <w:tr w:rsidR="00E56BB6" w:rsidRPr="00E56BB6" w14:paraId="6381AFB3" w14:textId="77777777" w:rsidTr="00E56BB6">
        <w:tc>
          <w:tcPr>
            <w:tcW w:w="0" w:type="auto"/>
            <w:shd w:val="clear" w:color="auto" w:fill="FFFFFF"/>
            <w:vAlign w:val="center"/>
            <w:hideMark/>
          </w:tcPr>
          <w:p w14:paraId="06957AF6" w14:textId="77777777" w:rsidR="00E56BB6" w:rsidRPr="00E56BB6" w:rsidRDefault="00E56BB6" w:rsidP="00E56BB6"/>
        </w:tc>
        <w:tc>
          <w:tcPr>
            <w:tcW w:w="0" w:type="auto"/>
            <w:shd w:val="clear" w:color="auto" w:fill="FFFFFF"/>
            <w:vAlign w:val="center"/>
            <w:hideMark/>
          </w:tcPr>
          <w:p w14:paraId="2F9ADF9F" w14:textId="77777777" w:rsidR="00E56BB6" w:rsidRPr="00E56BB6" w:rsidRDefault="00E56BB6" w:rsidP="00E56BB6"/>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926239"/>
    <w:rsid w:val="00E02A04"/>
    <w:rsid w:val="00E56BB6"/>
    <w:rsid w:val="00E61204"/>
    <w:rsid w:val="00FB75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4874203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642001556">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063484832">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pcropfert.com/download/en/tabla_EN.pdf" TargetMode="External"/><Relationship Id="rId5" Type="http://schemas.openxmlformats.org/officeDocument/2006/relationships/hyperlink" Target="http://topcropfert.com/shop/gb/liquid-fertilizers/26-top-bloom.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307</Words>
  <Characters>1692</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9</cp:revision>
  <dcterms:created xsi:type="dcterms:W3CDTF">2022-11-07T15:25:00Z</dcterms:created>
  <dcterms:modified xsi:type="dcterms:W3CDTF">2022-11-22T12:20:00Z</dcterms:modified>
</cp:coreProperties>
</file>