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4C767A75" w14:textId="77777777" w:rsidR="00B74615" w:rsidRPr="00B74615" w:rsidRDefault="00B74615" w:rsidP="00B74615">
      <w:r w:rsidRPr="00B74615">
        <w:rPr>
          <w:b/>
          <w:bCs/>
        </w:rPr>
        <w:t>Green Explosion</w:t>
      </w:r>
      <w:r w:rsidRPr="00B74615">
        <w:t> by </w:t>
      </w:r>
      <w:r w:rsidRPr="00B74615">
        <w:rPr>
          <w:b/>
          <w:bCs/>
        </w:rPr>
        <w:t>Top Crop</w:t>
      </w:r>
      <w:r w:rsidRPr="00B74615">
        <w:t> is an excellent plant growth stimulator formulated based on algae extract of the genus Ascophyllum nodosum. It helps promote cell multiplication, which translates into a notable increase in the volume of plant mass, as well as the root system, also increasing the chlorophyll content and an increase of up to 30% in the proportion of shoots and the consequent increase in flowers.</w:t>
      </w:r>
    </w:p>
    <w:p w14:paraId="7844CA5E" w14:textId="77777777" w:rsidR="00B74615" w:rsidRPr="00B74615" w:rsidRDefault="00B74615" w:rsidP="00B74615">
      <w:r w:rsidRPr="00B74615">
        <w:rPr>
          <w:b/>
          <w:bCs/>
        </w:rPr>
        <w:t>HOW TO USE GREEN EXPLOSION FROM TOP CROP</w:t>
      </w:r>
    </w:p>
    <w:p w14:paraId="02147F9F" w14:textId="77777777" w:rsidR="00B74615" w:rsidRPr="00B74615" w:rsidRDefault="00B74615" w:rsidP="00B74615">
      <w:r w:rsidRPr="00B74615">
        <w:t>It is best to spray Green Explosion onto the leaves, as this is the fastest way to get results. Always respect the dose on the product label. In this case, start with the minimum dose and increase gradually to the maximum of 2 ml/l of water.</w:t>
      </w:r>
    </w:p>
    <w:p w14:paraId="6770B9D2" w14:textId="77777777" w:rsidR="00B74615" w:rsidRPr="00B74615" w:rsidRDefault="00B74615" w:rsidP="00B74615">
      <w:r w:rsidRPr="00B74615">
        <w:t>Only use Green Explosion by Top Crop once a week or every two weeks. The increase in vegetation mass is clear, with up to 30% more new shoots and, therefore, more flowers. It is also a good product for revitalising and helping plants recover from attacks by pests or other stress factors (drought, extreme temperatures, etc.).</w:t>
      </w:r>
    </w:p>
    <w:p w14:paraId="6A959CEF" w14:textId="77777777" w:rsidR="00B74615" w:rsidRPr="00B74615" w:rsidRDefault="00B74615" w:rsidP="00B74615">
      <w:r w:rsidRPr="00B74615">
        <w:rPr>
          <w:b/>
          <w:bCs/>
        </w:rPr>
        <w:t>TIPS</w:t>
      </w:r>
    </w:p>
    <w:p w14:paraId="08B26008" w14:textId="77777777" w:rsidR="00B74615" w:rsidRPr="00B74615" w:rsidRDefault="00B74615" w:rsidP="00B74615">
      <w:r w:rsidRPr="00B74615">
        <w:t>You can combine Green Explosion with other fertilizers for the growth phase. We recommend storing this fertilizer in a dry place, out of direct sunlight. This will help maintain the quality of the product. Have a look </w:t>
      </w:r>
      <w:hyperlink r:id="rId5" w:history="1">
        <w:r w:rsidRPr="00B74615">
          <w:rPr>
            <w:rStyle w:val="Hipervnculo"/>
          </w:rPr>
          <w:t>the crop table of Top Crop</w:t>
        </w:r>
      </w:hyperlink>
      <w:r w:rsidRPr="00B74615">
        <w:t> to guide you in the applications of each product. Shake the product well before each use.</w:t>
      </w:r>
    </w:p>
    <w:p w14:paraId="3E1AD944" w14:textId="77777777" w:rsidR="00B74615" w:rsidRPr="00B74615" w:rsidRDefault="00B74615" w:rsidP="00B74615">
      <w:r w:rsidRPr="00B74615">
        <w:rPr>
          <w:b/>
          <w:bCs/>
        </w:rPr>
        <w:t>FORMATS</w:t>
      </w:r>
    </w:p>
    <w:p w14:paraId="6BBF85DB" w14:textId="134C9D1E" w:rsidR="00B74615" w:rsidRPr="00B74615" w:rsidRDefault="00B74615">
      <w:r w:rsidRPr="00B74615">
        <w:t>You’ll find Green Explosion at your favourite growshop in 250mL.</w:t>
      </w:r>
    </w:p>
    <w:p w14:paraId="7ADA2D43" w14:textId="09CBD538" w:rsidR="00E61204" w:rsidRDefault="000E522E">
      <w:r>
        <w:rPr>
          <w:b/>
          <w:bCs/>
        </w:rPr>
        <w:t>C</w:t>
      </w:r>
      <w:r w:rsidR="00026EEA">
        <w:rPr>
          <w:b/>
          <w:bCs/>
        </w:rPr>
        <w:t>OMPOSI</w:t>
      </w:r>
      <w:r w:rsidR="00926239">
        <w:rPr>
          <w:b/>
          <w:bCs/>
        </w:rPr>
        <w:t>TION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398"/>
        <w:gridCol w:w="997"/>
      </w:tblGrid>
      <w:tr w:rsidR="0074130F" w:rsidRPr="0074130F" w14:paraId="41CB1C97" w14:textId="77777777" w:rsidTr="0074130F">
        <w:tc>
          <w:tcPr>
            <w:tcW w:w="0" w:type="auto"/>
            <w:shd w:val="clear" w:color="auto" w:fill="FFFFFF"/>
            <w:vAlign w:val="center"/>
            <w:hideMark/>
          </w:tcPr>
          <w:p w14:paraId="2EF17717" w14:textId="77777777" w:rsidR="0074130F" w:rsidRPr="0074130F" w:rsidRDefault="0074130F" w:rsidP="0074130F">
            <w:r w:rsidRPr="0074130F">
              <w:t>Guaranteed purity %</w:t>
            </w:r>
          </w:p>
        </w:tc>
        <w:tc>
          <w:tcPr>
            <w:tcW w:w="0" w:type="auto"/>
            <w:shd w:val="clear" w:color="auto" w:fill="FFFFFF"/>
            <w:vAlign w:val="center"/>
            <w:hideMark/>
          </w:tcPr>
          <w:p w14:paraId="007273A4" w14:textId="77777777" w:rsidR="0074130F" w:rsidRPr="0074130F" w:rsidRDefault="0074130F" w:rsidP="0074130F">
            <w:r w:rsidRPr="0074130F">
              <w:t>w/w </w:t>
            </w:r>
          </w:p>
        </w:tc>
      </w:tr>
      <w:tr w:rsidR="0074130F" w:rsidRPr="0074130F" w14:paraId="0136056D" w14:textId="77777777" w:rsidTr="0074130F">
        <w:tc>
          <w:tcPr>
            <w:tcW w:w="0" w:type="auto"/>
            <w:shd w:val="clear" w:color="auto" w:fill="FFFFFF"/>
            <w:vAlign w:val="center"/>
            <w:hideMark/>
          </w:tcPr>
          <w:p w14:paraId="2814A7AC" w14:textId="77777777" w:rsidR="0074130F" w:rsidRPr="0074130F" w:rsidRDefault="0074130F" w:rsidP="0074130F">
            <w:r w:rsidRPr="0074130F">
              <w:t>Potassium Oxide (K2O) water soluble:</w:t>
            </w:r>
          </w:p>
        </w:tc>
        <w:tc>
          <w:tcPr>
            <w:tcW w:w="0" w:type="auto"/>
            <w:shd w:val="clear" w:color="auto" w:fill="FFFFFF"/>
            <w:vAlign w:val="center"/>
            <w:hideMark/>
          </w:tcPr>
          <w:p w14:paraId="3B71361F" w14:textId="77777777" w:rsidR="0074130F" w:rsidRPr="0074130F" w:rsidRDefault="0074130F" w:rsidP="0074130F">
            <w:r w:rsidRPr="0074130F">
              <w:t>2.5%</w:t>
            </w:r>
          </w:p>
        </w:tc>
      </w:tr>
      <w:tr w:rsidR="0074130F" w:rsidRPr="0074130F" w14:paraId="45332889" w14:textId="77777777" w:rsidTr="0074130F">
        <w:tc>
          <w:tcPr>
            <w:tcW w:w="0" w:type="auto"/>
            <w:shd w:val="clear" w:color="auto" w:fill="FFFFFF"/>
            <w:vAlign w:val="center"/>
            <w:hideMark/>
          </w:tcPr>
          <w:p w14:paraId="107AE8FD" w14:textId="77777777" w:rsidR="0074130F" w:rsidRPr="0074130F" w:rsidRDefault="0074130F" w:rsidP="0074130F">
            <w:r w:rsidRPr="0074130F">
              <w:t>Alginic acid:</w:t>
            </w:r>
          </w:p>
        </w:tc>
        <w:tc>
          <w:tcPr>
            <w:tcW w:w="0" w:type="auto"/>
            <w:shd w:val="clear" w:color="auto" w:fill="FFFFFF"/>
            <w:vAlign w:val="center"/>
            <w:hideMark/>
          </w:tcPr>
          <w:p w14:paraId="5648E2D7" w14:textId="77777777" w:rsidR="0074130F" w:rsidRPr="0074130F" w:rsidRDefault="0074130F" w:rsidP="0074130F">
            <w:r w:rsidRPr="0074130F">
              <w:t>1.7% </w:t>
            </w:r>
          </w:p>
        </w:tc>
      </w:tr>
      <w:tr w:rsidR="0074130F" w:rsidRPr="0074130F" w14:paraId="2DC4B128" w14:textId="77777777" w:rsidTr="0074130F">
        <w:tc>
          <w:tcPr>
            <w:tcW w:w="0" w:type="auto"/>
            <w:shd w:val="clear" w:color="auto" w:fill="FFFFFF"/>
            <w:vAlign w:val="center"/>
            <w:hideMark/>
          </w:tcPr>
          <w:p w14:paraId="56A6EA6F" w14:textId="77777777" w:rsidR="0074130F" w:rsidRPr="0074130F" w:rsidRDefault="0074130F" w:rsidP="0074130F">
            <w:r w:rsidRPr="0074130F">
              <w:t>Manitol:</w:t>
            </w:r>
          </w:p>
        </w:tc>
        <w:tc>
          <w:tcPr>
            <w:tcW w:w="0" w:type="auto"/>
            <w:shd w:val="clear" w:color="auto" w:fill="FFFFFF"/>
            <w:vAlign w:val="center"/>
            <w:hideMark/>
          </w:tcPr>
          <w:p w14:paraId="5C7C75EB" w14:textId="77777777" w:rsidR="0074130F" w:rsidRPr="0074130F" w:rsidRDefault="0074130F" w:rsidP="0074130F">
            <w:r w:rsidRPr="0074130F">
              <w:t>0.5% </w:t>
            </w:r>
          </w:p>
        </w:tc>
      </w:tr>
      <w:tr w:rsidR="0074130F" w:rsidRPr="0074130F" w14:paraId="29DDAA8D" w14:textId="77777777" w:rsidTr="0074130F">
        <w:tc>
          <w:tcPr>
            <w:tcW w:w="0" w:type="auto"/>
            <w:shd w:val="clear" w:color="auto" w:fill="FFFFFF"/>
            <w:vAlign w:val="center"/>
            <w:hideMark/>
          </w:tcPr>
          <w:p w14:paraId="6DCD1DE0" w14:textId="77777777" w:rsidR="0074130F" w:rsidRPr="0074130F" w:rsidRDefault="0074130F" w:rsidP="0074130F">
            <w:r w:rsidRPr="0074130F">
              <w:t>pH:</w:t>
            </w:r>
          </w:p>
        </w:tc>
        <w:tc>
          <w:tcPr>
            <w:tcW w:w="0" w:type="auto"/>
            <w:shd w:val="clear" w:color="auto" w:fill="FFFFFF"/>
            <w:vAlign w:val="center"/>
            <w:hideMark/>
          </w:tcPr>
          <w:p w14:paraId="71000C1D" w14:textId="77777777" w:rsidR="0074130F" w:rsidRPr="0074130F" w:rsidRDefault="0074130F" w:rsidP="0074130F">
            <w:r w:rsidRPr="0074130F">
              <w:t>9.6</w:t>
            </w:r>
          </w:p>
        </w:tc>
      </w:tr>
      <w:tr w:rsidR="0074130F" w:rsidRPr="0074130F" w14:paraId="5E38399B" w14:textId="77777777" w:rsidTr="0074130F">
        <w:tc>
          <w:tcPr>
            <w:tcW w:w="0" w:type="auto"/>
            <w:shd w:val="clear" w:color="auto" w:fill="FFFFFF"/>
            <w:vAlign w:val="center"/>
            <w:hideMark/>
          </w:tcPr>
          <w:p w14:paraId="37E499FF" w14:textId="77777777" w:rsidR="0074130F" w:rsidRPr="0074130F" w:rsidRDefault="0074130F" w:rsidP="0074130F">
            <w:r w:rsidRPr="0074130F">
              <w:t>Electric conductivity:</w:t>
            </w:r>
          </w:p>
        </w:tc>
        <w:tc>
          <w:tcPr>
            <w:tcW w:w="0" w:type="auto"/>
            <w:shd w:val="clear" w:color="auto" w:fill="FFFFFF"/>
            <w:vAlign w:val="center"/>
            <w:hideMark/>
          </w:tcPr>
          <w:p w14:paraId="57F49D02" w14:textId="77777777" w:rsidR="0074130F" w:rsidRPr="0074130F" w:rsidRDefault="0074130F" w:rsidP="0074130F">
            <w:r w:rsidRPr="0074130F">
              <w:t>49.0 dS/m </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74130F"/>
    <w:rsid w:val="00926239"/>
    <w:rsid w:val="00B74615"/>
    <w:rsid w:val="00E02A0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436175907">
      <w:bodyDiv w:val="1"/>
      <w:marLeft w:val="0"/>
      <w:marRight w:val="0"/>
      <w:marTop w:val="0"/>
      <w:marBottom w:val="0"/>
      <w:divBdr>
        <w:top w:val="none" w:sz="0" w:space="0" w:color="auto"/>
        <w:left w:val="none" w:sz="0" w:space="0" w:color="auto"/>
        <w:bottom w:val="none" w:sz="0" w:space="0" w:color="auto"/>
        <w:right w:val="none" w:sz="0" w:space="0" w:color="auto"/>
      </w:divBdr>
    </w:div>
    <w:div w:id="1620796786">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opcropfert.com/donwload/en/tabla_E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257</Words>
  <Characters>1415</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2022-11-22T12:49:00Z</dcterms:modified>
</cp:coreProperties>
</file>