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18EBD177" w:rsidR="00026EEA" w:rsidRPr="00026EEA" w:rsidRDefault="00026EEA" w:rsidP="00026EEA">
      <w:r>
        <w:rPr>
          <w:b/>
          <w:bCs/>
        </w:rPr>
        <w:t>DESCRI</w:t>
      </w:r>
      <w:r w:rsidR="00F606A6">
        <w:rPr>
          <w:b/>
          <w:bCs/>
        </w:rPr>
        <w:t>ZIONE</w:t>
      </w:r>
    </w:p>
    <w:p w14:paraId="7B43F777" w14:textId="4A86A75D" w:rsidR="00227C06" w:rsidRPr="00227C06" w:rsidRDefault="00227C06" w:rsidP="00227C06">
      <w:r w:rsidRPr="00227C06">
        <w:rPr>
          <w:b/>
          <w:bCs/>
        </w:rPr>
        <w:t>T</w:t>
      </w:r>
      <w:r>
        <w:rPr>
          <w:b/>
          <w:bCs/>
        </w:rPr>
        <w:t>op</w:t>
      </w:r>
      <w:r w:rsidRPr="00227C06">
        <w:rPr>
          <w:b/>
          <w:bCs/>
        </w:rPr>
        <w:t xml:space="preserve"> A</w:t>
      </w:r>
      <w:r>
        <w:rPr>
          <w:b/>
          <w:bCs/>
        </w:rPr>
        <w:t>uto</w:t>
      </w:r>
      <w:r w:rsidRPr="00227C06">
        <w:t> di </w:t>
      </w:r>
      <w:r w:rsidRPr="00227C06">
        <w:rPr>
          <w:b/>
          <w:bCs/>
        </w:rPr>
        <w:t>Top Crop</w:t>
      </w:r>
      <w:r w:rsidRPr="00227C06">
        <w:t> è un fertilizzante liquido ricco di NPK (azoto, fosforo e potassio) appositamente formulato per piante autofiorenti. Top Auto soddisfa tutte le esigenze della tua pianta, dalla crescita alla fioritura. Con Top Auto hai tutto in un unico prodotto! Le tue piante non troveranno un alleato migliore per una crescita esplosiva e una fioritura rigogliosa.</w:t>
      </w:r>
    </w:p>
    <w:p w14:paraId="79798950" w14:textId="77777777" w:rsidR="00227C06" w:rsidRPr="00227C06" w:rsidRDefault="00227C06" w:rsidP="00227C06">
      <w:r w:rsidRPr="00227C06">
        <w:t>Il meglio di questo fertilizzante Top Crop sono i risultati finali. Con Top Auto otterrai germogli grandi e densi. Questo prodotto ad assorbimento rapido è adatto anche per il giardinaggio domestico.</w:t>
      </w:r>
    </w:p>
    <w:p w14:paraId="4695B048" w14:textId="77777777" w:rsidR="00227C06" w:rsidRPr="00227C06" w:rsidRDefault="00227C06" w:rsidP="00227C06">
      <w:r w:rsidRPr="00227C06">
        <w:rPr>
          <w:b/>
          <w:bCs/>
        </w:rPr>
        <w:t>COME USARE TOP AUTO DI TOP CROP</w:t>
      </w:r>
    </w:p>
    <w:p w14:paraId="77989B7C" w14:textId="77777777" w:rsidR="00227C06" w:rsidRPr="00227C06" w:rsidRDefault="00227C06" w:rsidP="00227C06">
      <w:r w:rsidRPr="00227C06">
        <w:t>Top Auto viene diluito con l'irrigazione delle piante, rispettando le dosi indicate sull'etichetta del prodotto. Inizieremo la sua applicazione alla terza settimana di vita della nostra pianta, che corrisponde all'inizio della fase di crescita. Usando sempre il dosaggio minimo di 2,5 ml/l per aumentarlo progressivamente nelle successive irrigazioni, fino a raggiungere un massimo di 3,5 ml/l. Nella prima settimana di crescita è sufficiente un dosaggio inferiore (1-1,5 ml/l).</w:t>
      </w:r>
    </w:p>
    <w:p w14:paraId="3491E261" w14:textId="77777777" w:rsidR="00227C06" w:rsidRPr="00227C06" w:rsidRDefault="00227C06" w:rsidP="00227C06">
      <w:r w:rsidRPr="00227C06">
        <w:rPr>
          <w:b/>
          <w:bCs/>
        </w:rPr>
        <w:t>CONSIGLI</w:t>
      </w:r>
    </w:p>
    <w:p w14:paraId="5BA6604E" w14:textId="77777777" w:rsidR="00227C06" w:rsidRPr="00227C06" w:rsidRDefault="00227C06" w:rsidP="00227C06">
      <w:r w:rsidRPr="00227C06">
        <w:t>Per risultati migliori, ti consigliamo di combinarlo con altri fertilizzanti per la fioritura Top Crop come </w:t>
      </w:r>
      <w:hyperlink r:id="rId5" w:history="1">
        <w:r w:rsidRPr="00227C06">
          <w:rPr>
            <w:rStyle w:val="Hipervnculo"/>
          </w:rPr>
          <w:t>Top Bud</w:t>
        </w:r>
      </w:hyperlink>
      <w:r w:rsidRPr="00227C06">
        <w:t>, </w:t>
      </w:r>
      <w:hyperlink r:id="rId6" w:history="1">
        <w:r w:rsidRPr="00227C06">
          <w:rPr>
            <w:rStyle w:val="Hipervnculo"/>
          </w:rPr>
          <w:t>Top Candy</w:t>
        </w:r>
      </w:hyperlink>
      <w:r w:rsidRPr="00227C06">
        <w:t> e </w:t>
      </w:r>
      <w:hyperlink r:id="rId7" w:history="1">
        <w:r w:rsidRPr="00227C06">
          <w:rPr>
            <w:rStyle w:val="Hipervnculo"/>
          </w:rPr>
          <w:t>Big One</w:t>
        </w:r>
      </w:hyperlink>
      <w:r w:rsidRPr="00227C06">
        <w:t>.</w:t>
      </w:r>
    </w:p>
    <w:p w14:paraId="18C96B9A" w14:textId="77777777" w:rsidR="00227C06" w:rsidRPr="00227C06" w:rsidRDefault="00227C06" w:rsidP="00227C06">
      <w:r w:rsidRPr="00227C06">
        <w:t>Puoi trovare Top Auto nel formato da 1 litro e 250 ml. Se vuoi saperne di più su altri prodotti della gamma Top Crop, dai un'occhiata al nostro canale </w:t>
      </w:r>
      <w:hyperlink r:id="rId8" w:history="1">
        <w:r w:rsidRPr="00227C06">
          <w:rPr>
            <w:rStyle w:val="Hipervnculo"/>
          </w:rPr>
          <w:t>YouTube</w:t>
        </w:r>
      </w:hyperlink>
      <w:r w:rsidRPr="00227C06">
        <w:t>.</w:t>
      </w:r>
    </w:p>
    <w:p w14:paraId="0231AF91" w14:textId="77777777" w:rsidR="00227C06" w:rsidRPr="00227C06" w:rsidRDefault="00227C06" w:rsidP="00227C06">
      <w:r w:rsidRPr="00227C06">
        <w:t>Ti consigliamo di conservare questo fertilizzante in un luogo asciutto, evitando la sua esposizione alla luce solare diretta. Conservandolo in questo modo, manterrai la qualità del prodotto.</w:t>
      </w:r>
    </w:p>
    <w:p w14:paraId="4728FF21" w14:textId="77777777" w:rsidR="00227C06" w:rsidRPr="00227C06" w:rsidRDefault="00227C06" w:rsidP="00227C06">
      <w:r w:rsidRPr="00227C06">
        <w:rPr>
          <w:b/>
          <w:bCs/>
        </w:rPr>
        <w:t>FORMATI</w:t>
      </w:r>
    </w:p>
    <w:p w14:paraId="7FAEBF86" w14:textId="3DF9BEE3" w:rsidR="00227C06" w:rsidRPr="00227C06" w:rsidRDefault="00227C06">
      <w:r w:rsidRPr="00227C06">
        <w:t>Troverai Top Auto nel tuo growshop di fiducia in tre formati: 250mL, 1L e 5L.</w:t>
      </w:r>
    </w:p>
    <w:p w14:paraId="7ADA2D43" w14:textId="7274A36F" w:rsidR="00E61204" w:rsidRDefault="00026EEA">
      <w:r>
        <w:rPr>
          <w:b/>
          <w:bCs/>
        </w:rPr>
        <w:t>COMPOSI</w:t>
      </w:r>
      <w:r w:rsidR="00F606A6">
        <w:rPr>
          <w:b/>
          <w:bCs/>
        </w:rPr>
        <w:t>ZIONE</w:t>
      </w:r>
    </w:p>
    <w:p w14:paraId="69A4A92E" w14:textId="77777777" w:rsidR="00066EB8" w:rsidRPr="00066EB8" w:rsidRDefault="00066EB8" w:rsidP="00066EB8">
      <w:r w:rsidRPr="00066EB8">
        <w:t>RICCHEZZE GARANTITE % (p/p)</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5140"/>
        <w:gridCol w:w="2509"/>
      </w:tblGrid>
      <w:tr w:rsidR="00066EB8" w:rsidRPr="00066EB8" w14:paraId="67DE5C7C" w14:textId="77777777" w:rsidTr="00066EB8">
        <w:tc>
          <w:tcPr>
            <w:tcW w:w="0" w:type="auto"/>
            <w:shd w:val="clear" w:color="auto" w:fill="FFFFFF"/>
            <w:vAlign w:val="center"/>
            <w:hideMark/>
          </w:tcPr>
          <w:p w14:paraId="6CFB30BC" w14:textId="77777777" w:rsidR="00066EB8" w:rsidRPr="00066EB8" w:rsidRDefault="00066EB8" w:rsidP="00066EB8">
            <w:r w:rsidRPr="00066EB8">
              <w:t>Azoto (N) totale:</w:t>
            </w:r>
          </w:p>
        </w:tc>
        <w:tc>
          <w:tcPr>
            <w:tcW w:w="0" w:type="auto"/>
            <w:shd w:val="clear" w:color="auto" w:fill="FFFFFF"/>
            <w:vAlign w:val="center"/>
            <w:hideMark/>
          </w:tcPr>
          <w:p w14:paraId="7B899321" w14:textId="77777777" w:rsidR="00066EB8" w:rsidRPr="00066EB8" w:rsidRDefault="00066EB8" w:rsidP="00066EB8">
            <w:r w:rsidRPr="00066EB8">
              <w:t>3.5 % </w:t>
            </w:r>
          </w:p>
        </w:tc>
      </w:tr>
      <w:tr w:rsidR="00066EB8" w:rsidRPr="00066EB8" w14:paraId="61FA745E" w14:textId="77777777" w:rsidTr="00066EB8">
        <w:tc>
          <w:tcPr>
            <w:tcW w:w="0" w:type="auto"/>
            <w:shd w:val="clear" w:color="auto" w:fill="FFFFFF"/>
            <w:vAlign w:val="center"/>
            <w:hideMark/>
          </w:tcPr>
          <w:p w14:paraId="588EF8DB" w14:textId="77777777" w:rsidR="00066EB8" w:rsidRPr="00066EB8" w:rsidRDefault="00066EB8" w:rsidP="00066EB8">
            <w:r w:rsidRPr="00066EB8">
              <w:t>Azoto(N) ureico:</w:t>
            </w:r>
          </w:p>
        </w:tc>
        <w:tc>
          <w:tcPr>
            <w:tcW w:w="0" w:type="auto"/>
            <w:shd w:val="clear" w:color="auto" w:fill="FFFFFF"/>
            <w:vAlign w:val="center"/>
            <w:hideMark/>
          </w:tcPr>
          <w:p w14:paraId="7FEDD467" w14:textId="77777777" w:rsidR="00066EB8" w:rsidRPr="00066EB8" w:rsidRDefault="00066EB8" w:rsidP="00066EB8">
            <w:r w:rsidRPr="00066EB8">
              <w:t>3.3 % </w:t>
            </w:r>
          </w:p>
        </w:tc>
      </w:tr>
      <w:tr w:rsidR="00066EB8" w:rsidRPr="00066EB8" w14:paraId="39B441A0" w14:textId="77777777" w:rsidTr="00066EB8">
        <w:tc>
          <w:tcPr>
            <w:tcW w:w="0" w:type="auto"/>
            <w:shd w:val="clear" w:color="auto" w:fill="FFFFFF"/>
            <w:vAlign w:val="center"/>
            <w:hideMark/>
          </w:tcPr>
          <w:p w14:paraId="604F2B37" w14:textId="77777777" w:rsidR="00066EB8" w:rsidRPr="00066EB8" w:rsidRDefault="00066EB8" w:rsidP="00066EB8">
            <w:r w:rsidRPr="00066EB8">
              <w:t>Pentossido di fosforo (P2O5) solubile in acqua:</w:t>
            </w:r>
          </w:p>
        </w:tc>
        <w:tc>
          <w:tcPr>
            <w:tcW w:w="0" w:type="auto"/>
            <w:shd w:val="clear" w:color="auto" w:fill="FFFFFF"/>
            <w:vAlign w:val="center"/>
            <w:hideMark/>
          </w:tcPr>
          <w:p w14:paraId="5839BA7D" w14:textId="77777777" w:rsidR="00066EB8" w:rsidRPr="00066EB8" w:rsidRDefault="00066EB8" w:rsidP="00066EB8">
            <w:r w:rsidRPr="00066EB8">
              <w:t> 5.3% </w:t>
            </w:r>
          </w:p>
        </w:tc>
      </w:tr>
      <w:tr w:rsidR="00066EB8" w:rsidRPr="00066EB8" w14:paraId="180A473A" w14:textId="77777777" w:rsidTr="00066EB8">
        <w:tc>
          <w:tcPr>
            <w:tcW w:w="0" w:type="auto"/>
            <w:shd w:val="clear" w:color="auto" w:fill="FFFFFF"/>
            <w:vAlign w:val="center"/>
            <w:hideMark/>
          </w:tcPr>
          <w:p w14:paraId="53466666" w14:textId="77777777" w:rsidR="00066EB8" w:rsidRPr="00066EB8" w:rsidRDefault="00066EB8" w:rsidP="00066EB8">
            <w:r w:rsidRPr="00066EB8">
              <w:t>Ossido di potassio (K2O) solubile in acqua:</w:t>
            </w:r>
          </w:p>
        </w:tc>
        <w:tc>
          <w:tcPr>
            <w:tcW w:w="0" w:type="auto"/>
            <w:shd w:val="clear" w:color="auto" w:fill="FFFFFF"/>
            <w:vAlign w:val="center"/>
            <w:hideMark/>
          </w:tcPr>
          <w:p w14:paraId="4ED337A3" w14:textId="77777777" w:rsidR="00066EB8" w:rsidRPr="00066EB8" w:rsidRDefault="00066EB8" w:rsidP="00066EB8">
            <w:r w:rsidRPr="00066EB8">
              <w:t>5.0% </w:t>
            </w:r>
          </w:p>
        </w:tc>
      </w:tr>
      <w:tr w:rsidR="00066EB8" w:rsidRPr="00066EB8" w14:paraId="4F1713DD" w14:textId="77777777" w:rsidTr="00066EB8">
        <w:tc>
          <w:tcPr>
            <w:tcW w:w="0" w:type="auto"/>
            <w:shd w:val="clear" w:color="auto" w:fill="FFFFFF"/>
            <w:vAlign w:val="center"/>
            <w:hideMark/>
          </w:tcPr>
          <w:p w14:paraId="5D5B3BD5" w14:textId="77777777" w:rsidR="00066EB8" w:rsidRPr="00066EB8" w:rsidRDefault="00066EB8" w:rsidP="00066EB8">
            <w:r w:rsidRPr="00066EB8">
              <w:t>Boro (B) solubile in acqua:</w:t>
            </w:r>
          </w:p>
        </w:tc>
        <w:tc>
          <w:tcPr>
            <w:tcW w:w="0" w:type="auto"/>
            <w:shd w:val="clear" w:color="auto" w:fill="FFFFFF"/>
            <w:vAlign w:val="center"/>
            <w:hideMark/>
          </w:tcPr>
          <w:p w14:paraId="10134A53" w14:textId="77777777" w:rsidR="00066EB8" w:rsidRPr="00066EB8" w:rsidRDefault="00066EB8" w:rsidP="00066EB8">
            <w:r w:rsidRPr="00066EB8">
              <w:t>0.02% </w:t>
            </w:r>
          </w:p>
        </w:tc>
      </w:tr>
      <w:tr w:rsidR="00066EB8" w:rsidRPr="00066EB8" w14:paraId="005CA646" w14:textId="77777777" w:rsidTr="00066EB8">
        <w:tc>
          <w:tcPr>
            <w:tcW w:w="0" w:type="auto"/>
            <w:shd w:val="clear" w:color="auto" w:fill="FFFFFF"/>
            <w:vAlign w:val="center"/>
            <w:hideMark/>
          </w:tcPr>
          <w:p w14:paraId="4361EA97" w14:textId="77777777" w:rsidR="00066EB8" w:rsidRPr="00066EB8" w:rsidRDefault="00066EB8" w:rsidP="00066EB8">
            <w:r w:rsidRPr="00066EB8">
              <w:t>Rame (Cu) solubile in acqua:</w:t>
            </w:r>
          </w:p>
        </w:tc>
        <w:tc>
          <w:tcPr>
            <w:tcW w:w="0" w:type="auto"/>
            <w:shd w:val="clear" w:color="auto" w:fill="FFFFFF"/>
            <w:vAlign w:val="center"/>
            <w:hideMark/>
          </w:tcPr>
          <w:p w14:paraId="1E716C83" w14:textId="77777777" w:rsidR="00066EB8" w:rsidRPr="00066EB8" w:rsidRDefault="00066EB8" w:rsidP="00066EB8">
            <w:r w:rsidRPr="00066EB8">
              <w:t>0.006% chelato con EDTA </w:t>
            </w:r>
          </w:p>
        </w:tc>
      </w:tr>
      <w:tr w:rsidR="00066EB8" w:rsidRPr="00066EB8" w14:paraId="2BB110B4" w14:textId="77777777" w:rsidTr="00066EB8">
        <w:tc>
          <w:tcPr>
            <w:tcW w:w="0" w:type="auto"/>
            <w:shd w:val="clear" w:color="auto" w:fill="FFFFFF"/>
            <w:vAlign w:val="center"/>
            <w:hideMark/>
          </w:tcPr>
          <w:p w14:paraId="7D63863F" w14:textId="77777777" w:rsidR="00066EB8" w:rsidRPr="00066EB8" w:rsidRDefault="00066EB8" w:rsidP="00066EB8">
            <w:r w:rsidRPr="00066EB8">
              <w:t>Ferro (Fe) solubile in acqua:</w:t>
            </w:r>
          </w:p>
        </w:tc>
        <w:tc>
          <w:tcPr>
            <w:tcW w:w="0" w:type="auto"/>
            <w:shd w:val="clear" w:color="auto" w:fill="FFFFFF"/>
            <w:vAlign w:val="center"/>
            <w:hideMark/>
          </w:tcPr>
          <w:p w14:paraId="6E220F47" w14:textId="77777777" w:rsidR="00066EB8" w:rsidRPr="00066EB8" w:rsidRDefault="00066EB8" w:rsidP="00066EB8">
            <w:r w:rsidRPr="00066EB8">
              <w:t>0.07% chelato con EDDHSA </w:t>
            </w:r>
          </w:p>
        </w:tc>
      </w:tr>
      <w:tr w:rsidR="00066EB8" w:rsidRPr="00066EB8" w14:paraId="4C02FF70" w14:textId="77777777" w:rsidTr="00066EB8">
        <w:tc>
          <w:tcPr>
            <w:tcW w:w="0" w:type="auto"/>
            <w:shd w:val="clear" w:color="auto" w:fill="FFFFFF"/>
            <w:vAlign w:val="center"/>
            <w:hideMark/>
          </w:tcPr>
          <w:p w14:paraId="42DA913F" w14:textId="77777777" w:rsidR="00066EB8" w:rsidRPr="00066EB8" w:rsidRDefault="00066EB8" w:rsidP="00066EB8">
            <w:r w:rsidRPr="00066EB8">
              <w:t>Manganese (Mn) solubile in acqua:</w:t>
            </w:r>
          </w:p>
        </w:tc>
        <w:tc>
          <w:tcPr>
            <w:tcW w:w="0" w:type="auto"/>
            <w:shd w:val="clear" w:color="auto" w:fill="FFFFFF"/>
            <w:vAlign w:val="center"/>
            <w:hideMark/>
          </w:tcPr>
          <w:p w14:paraId="5602FF25" w14:textId="77777777" w:rsidR="00066EB8" w:rsidRPr="00066EB8" w:rsidRDefault="00066EB8" w:rsidP="00066EB8">
            <w:r w:rsidRPr="00066EB8">
              <w:t>0.03% chelato con EDTA </w:t>
            </w:r>
          </w:p>
        </w:tc>
      </w:tr>
      <w:tr w:rsidR="00066EB8" w:rsidRPr="00066EB8" w14:paraId="5EDFAD14" w14:textId="77777777" w:rsidTr="00066EB8">
        <w:tc>
          <w:tcPr>
            <w:tcW w:w="0" w:type="auto"/>
            <w:shd w:val="clear" w:color="auto" w:fill="FFFFFF"/>
            <w:vAlign w:val="center"/>
            <w:hideMark/>
          </w:tcPr>
          <w:p w14:paraId="2A0E5317" w14:textId="77777777" w:rsidR="00066EB8" w:rsidRPr="00066EB8" w:rsidRDefault="00066EB8" w:rsidP="00066EB8">
            <w:r w:rsidRPr="00066EB8">
              <w:t>Zinco (Zn) solubile in acqua:</w:t>
            </w:r>
          </w:p>
        </w:tc>
        <w:tc>
          <w:tcPr>
            <w:tcW w:w="0" w:type="auto"/>
            <w:shd w:val="clear" w:color="auto" w:fill="FFFFFF"/>
            <w:vAlign w:val="center"/>
            <w:hideMark/>
          </w:tcPr>
          <w:p w14:paraId="02966650" w14:textId="77777777" w:rsidR="00066EB8" w:rsidRPr="00066EB8" w:rsidRDefault="00066EB8" w:rsidP="00066EB8">
            <w:r w:rsidRPr="00066EB8">
              <w:t>0.017% chelato con EDTA </w:t>
            </w:r>
          </w:p>
        </w:tc>
      </w:tr>
      <w:tr w:rsidR="00066EB8" w:rsidRPr="00066EB8" w14:paraId="04233D5A" w14:textId="77777777" w:rsidTr="00066EB8">
        <w:tc>
          <w:tcPr>
            <w:tcW w:w="0" w:type="auto"/>
            <w:shd w:val="clear" w:color="auto" w:fill="FFFFFF"/>
            <w:vAlign w:val="center"/>
            <w:hideMark/>
          </w:tcPr>
          <w:p w14:paraId="45FFC3F1" w14:textId="77777777" w:rsidR="00066EB8" w:rsidRPr="00066EB8" w:rsidRDefault="00066EB8" w:rsidP="00066EB8">
            <w:r w:rsidRPr="00066EB8">
              <w:lastRenderedPageBreak/>
              <w:t>Estratto umico totale:</w:t>
            </w:r>
          </w:p>
        </w:tc>
        <w:tc>
          <w:tcPr>
            <w:tcW w:w="0" w:type="auto"/>
            <w:shd w:val="clear" w:color="auto" w:fill="FFFFFF"/>
            <w:vAlign w:val="center"/>
            <w:hideMark/>
          </w:tcPr>
          <w:p w14:paraId="000CBFB5" w14:textId="77777777" w:rsidR="00066EB8" w:rsidRPr="00066EB8" w:rsidRDefault="00066EB8" w:rsidP="00066EB8">
            <w:r w:rsidRPr="00066EB8">
              <w:t>7.0%</w:t>
            </w:r>
          </w:p>
        </w:tc>
      </w:tr>
      <w:tr w:rsidR="00066EB8" w:rsidRPr="00066EB8" w14:paraId="1F3A066E" w14:textId="77777777" w:rsidTr="00066EB8">
        <w:tc>
          <w:tcPr>
            <w:tcW w:w="0" w:type="auto"/>
            <w:shd w:val="clear" w:color="auto" w:fill="FFFFFF"/>
            <w:vAlign w:val="center"/>
            <w:hideMark/>
          </w:tcPr>
          <w:p w14:paraId="56F55AD2" w14:textId="77777777" w:rsidR="00066EB8" w:rsidRPr="00066EB8" w:rsidRDefault="00066EB8" w:rsidP="00066EB8">
            <w:r w:rsidRPr="00066EB8">
              <w:t>Acidi umici:</w:t>
            </w:r>
          </w:p>
        </w:tc>
        <w:tc>
          <w:tcPr>
            <w:tcW w:w="0" w:type="auto"/>
            <w:shd w:val="clear" w:color="auto" w:fill="FFFFFF"/>
            <w:vAlign w:val="center"/>
            <w:hideMark/>
          </w:tcPr>
          <w:p w14:paraId="1DAA0978" w14:textId="77777777" w:rsidR="00066EB8" w:rsidRPr="00066EB8" w:rsidRDefault="00066EB8" w:rsidP="00066EB8">
            <w:r w:rsidRPr="00066EB8">
              <w:t>4.0%</w:t>
            </w:r>
          </w:p>
        </w:tc>
      </w:tr>
      <w:tr w:rsidR="00066EB8" w:rsidRPr="00066EB8" w14:paraId="63DBD1A1" w14:textId="77777777" w:rsidTr="00066EB8">
        <w:tc>
          <w:tcPr>
            <w:tcW w:w="0" w:type="auto"/>
            <w:shd w:val="clear" w:color="auto" w:fill="FFFFFF"/>
            <w:vAlign w:val="center"/>
            <w:hideMark/>
          </w:tcPr>
          <w:p w14:paraId="10156888" w14:textId="77777777" w:rsidR="00066EB8" w:rsidRPr="00066EB8" w:rsidRDefault="00066EB8" w:rsidP="00066EB8">
            <w:r w:rsidRPr="00066EB8">
              <w:t>Acidi fulvici:</w:t>
            </w:r>
          </w:p>
        </w:tc>
        <w:tc>
          <w:tcPr>
            <w:tcW w:w="0" w:type="auto"/>
            <w:shd w:val="clear" w:color="auto" w:fill="FFFFFF"/>
            <w:vAlign w:val="center"/>
            <w:hideMark/>
          </w:tcPr>
          <w:p w14:paraId="2057D039" w14:textId="77777777" w:rsidR="00066EB8" w:rsidRPr="00066EB8" w:rsidRDefault="00066EB8" w:rsidP="00066EB8">
            <w:r w:rsidRPr="00066EB8">
              <w:t>3.0%</w:t>
            </w:r>
          </w:p>
        </w:tc>
      </w:tr>
      <w:tr w:rsidR="00066EB8" w:rsidRPr="00066EB8" w14:paraId="3F0063D9" w14:textId="77777777" w:rsidTr="00066EB8">
        <w:tc>
          <w:tcPr>
            <w:tcW w:w="0" w:type="auto"/>
            <w:shd w:val="clear" w:color="auto" w:fill="FFFFFF"/>
            <w:vAlign w:val="center"/>
            <w:hideMark/>
          </w:tcPr>
          <w:p w14:paraId="0305ECCD" w14:textId="77777777" w:rsidR="00066EB8" w:rsidRPr="00066EB8" w:rsidRDefault="00066EB8" w:rsidP="00066EB8">
            <w:r w:rsidRPr="00066EB8">
              <w:t>Umato Potassico solubile in acqua estratto da leonardite.</w:t>
            </w:r>
          </w:p>
        </w:tc>
        <w:tc>
          <w:tcPr>
            <w:tcW w:w="0" w:type="auto"/>
            <w:shd w:val="clear" w:color="auto" w:fill="FFFFFF"/>
            <w:vAlign w:val="center"/>
            <w:hideMark/>
          </w:tcPr>
          <w:p w14:paraId="155A29C0" w14:textId="77777777" w:rsidR="00066EB8" w:rsidRPr="00066EB8" w:rsidRDefault="00066EB8" w:rsidP="00066EB8"/>
        </w:tc>
      </w:tr>
      <w:tr w:rsidR="00066EB8" w:rsidRPr="00066EB8" w14:paraId="7266DE5F" w14:textId="77777777" w:rsidTr="00066EB8">
        <w:tc>
          <w:tcPr>
            <w:tcW w:w="0" w:type="auto"/>
            <w:shd w:val="clear" w:color="auto" w:fill="FFFFFF"/>
            <w:vAlign w:val="center"/>
            <w:hideMark/>
          </w:tcPr>
          <w:p w14:paraId="0D03560D" w14:textId="77777777" w:rsidR="00066EB8" w:rsidRPr="00066EB8" w:rsidRDefault="00066EB8" w:rsidP="00066EB8">
            <w:r w:rsidRPr="00066EB8">
              <w:t>pH:</w:t>
            </w:r>
          </w:p>
        </w:tc>
        <w:tc>
          <w:tcPr>
            <w:tcW w:w="0" w:type="auto"/>
            <w:shd w:val="clear" w:color="auto" w:fill="FFFFFF"/>
            <w:vAlign w:val="center"/>
            <w:hideMark/>
          </w:tcPr>
          <w:p w14:paraId="5408D882" w14:textId="77777777" w:rsidR="00066EB8" w:rsidRPr="00066EB8" w:rsidRDefault="00066EB8" w:rsidP="00066EB8">
            <w:r w:rsidRPr="00066EB8">
              <w:t>6.5</w:t>
            </w:r>
          </w:p>
        </w:tc>
      </w:tr>
    </w:tbl>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E23B7"/>
    <w:multiLevelType w:val="multilevel"/>
    <w:tmpl w:val="B2424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52183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066EB8"/>
    <w:rsid w:val="001A0752"/>
    <w:rsid w:val="00227C06"/>
    <w:rsid w:val="00485BFB"/>
    <w:rsid w:val="00746EAF"/>
    <w:rsid w:val="00E61204"/>
    <w:rsid w:val="00F606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477110819">
      <w:bodyDiv w:val="1"/>
      <w:marLeft w:val="0"/>
      <w:marRight w:val="0"/>
      <w:marTop w:val="0"/>
      <w:marBottom w:val="0"/>
      <w:divBdr>
        <w:top w:val="none" w:sz="0" w:space="0" w:color="auto"/>
        <w:left w:val="none" w:sz="0" w:space="0" w:color="auto"/>
        <w:bottom w:val="none" w:sz="0" w:space="0" w:color="auto"/>
        <w:right w:val="none" w:sz="0" w:space="0" w:color="auto"/>
      </w:divBdr>
    </w:div>
    <w:div w:id="482744457">
      <w:bodyDiv w:val="1"/>
      <w:marLeft w:val="0"/>
      <w:marRight w:val="0"/>
      <w:marTop w:val="0"/>
      <w:marBottom w:val="0"/>
      <w:divBdr>
        <w:top w:val="none" w:sz="0" w:space="0" w:color="auto"/>
        <w:left w:val="none" w:sz="0" w:space="0" w:color="auto"/>
        <w:bottom w:val="none" w:sz="0" w:space="0" w:color="auto"/>
        <w:right w:val="none" w:sz="0" w:space="0" w:color="auto"/>
      </w:divBdr>
    </w:div>
    <w:div w:id="642197644">
      <w:bodyDiv w:val="1"/>
      <w:marLeft w:val="0"/>
      <w:marRight w:val="0"/>
      <w:marTop w:val="0"/>
      <w:marBottom w:val="0"/>
      <w:divBdr>
        <w:top w:val="none" w:sz="0" w:space="0" w:color="auto"/>
        <w:left w:val="none" w:sz="0" w:space="0" w:color="auto"/>
        <w:bottom w:val="none" w:sz="0" w:space="0" w:color="auto"/>
        <w:right w:val="none" w:sz="0" w:space="0" w:color="auto"/>
      </w:divBdr>
    </w:div>
    <w:div w:id="889612555">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908223550">
      <w:bodyDiv w:val="1"/>
      <w:marLeft w:val="0"/>
      <w:marRight w:val="0"/>
      <w:marTop w:val="0"/>
      <w:marBottom w:val="0"/>
      <w:divBdr>
        <w:top w:val="none" w:sz="0" w:space="0" w:color="auto"/>
        <w:left w:val="none" w:sz="0" w:space="0" w:color="auto"/>
        <w:bottom w:val="none" w:sz="0" w:space="0" w:color="auto"/>
        <w:right w:val="none" w:sz="0" w:space="0" w:color="auto"/>
      </w:divBdr>
    </w:div>
    <w:div w:id="1128359964">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773207700">
      <w:bodyDiv w:val="1"/>
      <w:marLeft w:val="0"/>
      <w:marRight w:val="0"/>
      <w:marTop w:val="0"/>
      <w:marBottom w:val="0"/>
      <w:divBdr>
        <w:top w:val="none" w:sz="0" w:space="0" w:color="auto"/>
        <w:left w:val="none" w:sz="0" w:space="0" w:color="auto"/>
        <w:bottom w:val="none" w:sz="0" w:space="0" w:color="auto"/>
        <w:right w:val="none" w:sz="0" w:space="0" w:color="auto"/>
      </w:divBdr>
    </w:div>
    <w:div w:id="184104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channel/UCI6jiodEhSPt3Wqf1VEnXJQ" TargetMode="External"/><Relationship Id="rId3" Type="http://schemas.openxmlformats.org/officeDocument/2006/relationships/settings" Target="settings.xml"/><Relationship Id="rId7" Type="http://schemas.openxmlformats.org/officeDocument/2006/relationships/hyperlink" Target="https://topcropfert.com/shop/it/fertilizzanti-liquidi/8-big-on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pcropfert.com/shop/it/fertilizzanti-liquidi/51-top-candy.html" TargetMode="External"/><Relationship Id="rId5" Type="http://schemas.openxmlformats.org/officeDocument/2006/relationships/hyperlink" Target="https://topcropfert.com/shop/it/fertilizzanti-liquidi/13-top-bud.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401</Words>
  <Characters>2211</Characters>
  <Application>Microsoft Office Word</Application>
  <DocSecurity>0</DocSecurity>
  <Lines>18</Lines>
  <Paragraphs>5</Paragraphs>
  <ScaleCrop>false</ScaleCrop>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8</cp:revision>
  <dcterms:created xsi:type="dcterms:W3CDTF">2022-11-07T15:25:00Z</dcterms:created>
  <dcterms:modified xsi:type="dcterms:W3CDTF">2022-11-22T12:41:00Z</dcterms:modified>
</cp:coreProperties>
</file>