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8EBD177" w:rsidR="00026EEA" w:rsidRPr="00026EEA" w:rsidRDefault="00026EEA" w:rsidP="00026EEA">
      <w:r>
        <w:rPr>
          <w:b/>
          <w:bCs/>
        </w:rPr>
        <w:t>DESCRI</w:t>
      </w:r>
      <w:r w:rsidR="00F606A6">
        <w:rPr>
          <w:b/>
          <w:bCs/>
        </w:rPr>
        <w:t>ZIONE</w:t>
      </w:r>
    </w:p>
    <w:p w14:paraId="02ECF92E" w14:textId="77777777" w:rsidR="00D40749" w:rsidRPr="00D40749" w:rsidRDefault="00D40749" w:rsidP="00D40749">
      <w:r w:rsidRPr="00D40749">
        <w:rPr>
          <w:b/>
          <w:bCs/>
        </w:rPr>
        <w:t>Top Roots</w:t>
      </w:r>
      <w:r w:rsidRPr="00D40749">
        <w:t> di </w:t>
      </w:r>
      <w:r w:rsidRPr="00D40749">
        <w:rPr>
          <w:b/>
          <w:bCs/>
        </w:rPr>
        <w:t>Top Crop</w:t>
      </w:r>
      <w:r w:rsidRPr="00D40749">
        <w:t> è un fertilizzante concentrato 100% minerale formulato con NPK (azoto, fosforo e potassio) per rafforzare la crescita e lo sviluppo delle radici delle piante.</w:t>
      </w:r>
    </w:p>
    <w:p w14:paraId="581FF908" w14:textId="77777777" w:rsidR="00D40749" w:rsidRPr="00D40749" w:rsidRDefault="00D40749" w:rsidP="00D40749">
      <w:r w:rsidRPr="00D40749">
        <w:t>In altre parole, non solo potete usare Top Roots nelle prime due settimane di radicazione, ma potete anche estenderne l'uso durante la fase di crescita o dopo il trapianto della coltura.</w:t>
      </w:r>
    </w:p>
    <w:p w14:paraId="5DA17EE6" w14:textId="77777777" w:rsidR="00D40749" w:rsidRPr="00D40749" w:rsidRDefault="00D40749" w:rsidP="00D40749">
      <w:r w:rsidRPr="00D40749">
        <w:t>Inoltre, questo concime liquido può essere utilizzato all'inizio della fase di fioritura.</w:t>
      </w:r>
    </w:p>
    <w:p w14:paraId="178E29FB" w14:textId="77777777" w:rsidR="00D40749" w:rsidRPr="00D40749" w:rsidRDefault="00D40749" w:rsidP="00D40749">
      <w:r w:rsidRPr="00D40749">
        <w:rPr>
          <w:b/>
          <w:bCs/>
        </w:rPr>
        <w:t>COME UTILIZZARE TOP ROOTS DI TOP CROP</w:t>
      </w:r>
    </w:p>
    <w:p w14:paraId="43ED2F4A" w14:textId="77777777" w:rsidR="00D40749" w:rsidRPr="00D40749" w:rsidRDefault="00D40749" w:rsidP="00D40749">
      <w:r w:rsidRPr="00D40749">
        <w:t>Top Roots è facile da applicare. Con l'aiuto della pipetta dosatrice e/o del misurino è sufficiente diluire in ragione di 0,5-1 ml/ 1L di acqua di irrigazione nell'annaffiatoio. Si raccomanda di rispettare questo dosaggio e la frequenza d'uso: in acque dure (ad alto contenuto di calcare), una volta alla settimana e in acque dolci (a minor contenuto di calcare) non si esclude di estenderne l'uso fino a 2 o 3 volte alla settimana.</w:t>
      </w:r>
    </w:p>
    <w:p w14:paraId="7D3C110E" w14:textId="77777777" w:rsidR="00D40749" w:rsidRPr="00D40749" w:rsidRDefault="00D40749" w:rsidP="00D40749">
      <w:r w:rsidRPr="00D40749">
        <w:t>Per ottenere risultati ottimali è possibile combinare Top Roots con Top SOIL A + B durante la fase di crescita della coltura, all'inizio della fase di fioritura e al momento del trapianto.</w:t>
      </w:r>
    </w:p>
    <w:p w14:paraId="04674ADD" w14:textId="77777777" w:rsidR="00D40749" w:rsidRPr="00D40749" w:rsidRDefault="00D40749" w:rsidP="00D40749">
      <w:r w:rsidRPr="00D40749">
        <w:t>Si consiglia di regolare il pH e l'elettroconduttività della soluzione nutritiva al valore desiderato.</w:t>
      </w:r>
    </w:p>
    <w:p w14:paraId="09AFAEAB" w14:textId="77777777" w:rsidR="00D40749" w:rsidRPr="00D40749" w:rsidRDefault="00D40749" w:rsidP="00D40749">
      <w:r w:rsidRPr="00D40749">
        <w:rPr>
          <w:b/>
          <w:bCs/>
        </w:rPr>
        <w:t>CONSIGLI</w:t>
      </w:r>
    </w:p>
    <w:p w14:paraId="33CC9A4F" w14:textId="77777777" w:rsidR="00D40749" w:rsidRPr="00D40749" w:rsidRDefault="00D40749" w:rsidP="00D40749">
      <w:r w:rsidRPr="00D40749">
        <w:t>Si consiglia di conservare Top Roots in un luogo asciutto, evitando l'esposizione diretta alla luce del sole. Mantenendolo in questo modo si manterrà la qualità del prodotto. Agitare bene prima di ogni utilizzo. Scoprite tutte le proprietà di Top Roots e degli altri prodotti Top Crop sul nostro canale </w:t>
      </w:r>
      <w:hyperlink r:id="rId5" w:history="1">
        <w:r w:rsidRPr="00D40749">
          <w:rPr>
            <w:rStyle w:val="Hipervnculo"/>
          </w:rPr>
          <w:t>YouTube</w:t>
        </w:r>
      </w:hyperlink>
      <w:r w:rsidRPr="00D40749">
        <w:t>. Non dimenticate di seguire </w:t>
      </w:r>
      <w:hyperlink r:id="rId6" w:history="1">
        <w:r w:rsidRPr="00D40749">
          <w:rPr>
            <w:rStyle w:val="Hipervnculo"/>
          </w:rPr>
          <w:t>la tabella di coltivazione Top Crop</w:t>
        </w:r>
      </w:hyperlink>
      <w:r w:rsidRPr="00D40749">
        <w:t> per non perdervi nell'applicazione di ciascun prodotto Top Crop.</w:t>
      </w:r>
    </w:p>
    <w:p w14:paraId="4B48876A" w14:textId="77777777" w:rsidR="00D40749" w:rsidRPr="00D40749" w:rsidRDefault="00D40749" w:rsidP="00D40749">
      <w:r w:rsidRPr="00D40749">
        <w:rPr>
          <w:b/>
          <w:bCs/>
        </w:rPr>
        <w:t>FORMATI</w:t>
      </w:r>
    </w:p>
    <w:p w14:paraId="387FC89F" w14:textId="77777777" w:rsidR="00D40749" w:rsidRPr="00D40749" w:rsidRDefault="00D40749" w:rsidP="00D40749">
      <w:r w:rsidRPr="00D40749">
        <w:t>Nel vostro growshop di fiducia troverete Top Roots nei seguenti formati: 1L, 5L e 10L.</w:t>
      </w:r>
    </w:p>
    <w:p w14:paraId="7ADA2D43" w14:textId="13B5C35D" w:rsidR="00E61204" w:rsidRDefault="00026EEA">
      <w:r>
        <w:rPr>
          <w:b/>
          <w:bCs/>
        </w:rPr>
        <w:t>COMPOSI</w:t>
      </w:r>
      <w:r w:rsidR="00F606A6">
        <w:rPr>
          <w:b/>
          <w:bCs/>
        </w:rPr>
        <w:t>ZIONE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192"/>
        <w:gridCol w:w="516"/>
      </w:tblGrid>
      <w:tr w:rsidR="00B90455" w:rsidRPr="00B90455" w14:paraId="2FA8C333" w14:textId="77777777" w:rsidTr="00B90455">
        <w:tc>
          <w:tcPr>
            <w:tcW w:w="0" w:type="auto"/>
            <w:shd w:val="clear" w:color="auto" w:fill="FFFFFF"/>
            <w:vAlign w:val="center"/>
            <w:hideMark/>
          </w:tcPr>
          <w:p w14:paraId="2B429F9F" w14:textId="77777777" w:rsidR="00B90455" w:rsidRPr="00B90455" w:rsidRDefault="00B90455" w:rsidP="00B90455">
            <w:r w:rsidRPr="00B90455">
              <w:t>Azoto totale (N): </w:t>
            </w:r>
          </w:p>
        </w:tc>
        <w:tc>
          <w:tcPr>
            <w:tcW w:w="0" w:type="auto"/>
            <w:shd w:val="clear" w:color="auto" w:fill="FFFFFF"/>
            <w:vAlign w:val="center"/>
            <w:hideMark/>
          </w:tcPr>
          <w:p w14:paraId="35F268BC" w14:textId="77777777" w:rsidR="00B90455" w:rsidRPr="00B90455" w:rsidRDefault="00B90455" w:rsidP="00B90455">
            <w:r w:rsidRPr="00B90455">
              <w:t>1.5 %</w:t>
            </w:r>
          </w:p>
        </w:tc>
      </w:tr>
      <w:tr w:rsidR="00B90455" w:rsidRPr="00B90455" w14:paraId="4ED7DCC1" w14:textId="77777777" w:rsidTr="00B90455">
        <w:tc>
          <w:tcPr>
            <w:tcW w:w="0" w:type="auto"/>
            <w:shd w:val="clear" w:color="auto" w:fill="FFFFFF"/>
            <w:vAlign w:val="center"/>
            <w:hideMark/>
          </w:tcPr>
          <w:p w14:paraId="78553944" w14:textId="77777777" w:rsidR="00B90455" w:rsidRPr="00B90455" w:rsidRDefault="00B90455" w:rsidP="00B90455">
            <w:r w:rsidRPr="00B90455">
              <w:t>Azoto (N) ammoniacale: </w:t>
            </w:r>
          </w:p>
        </w:tc>
        <w:tc>
          <w:tcPr>
            <w:tcW w:w="0" w:type="auto"/>
            <w:shd w:val="clear" w:color="auto" w:fill="FFFFFF"/>
            <w:vAlign w:val="center"/>
            <w:hideMark/>
          </w:tcPr>
          <w:p w14:paraId="7882D950" w14:textId="77777777" w:rsidR="00B90455" w:rsidRPr="00B90455" w:rsidRDefault="00B90455" w:rsidP="00B90455">
            <w:r w:rsidRPr="00B90455">
              <w:t>1.3%</w:t>
            </w:r>
          </w:p>
        </w:tc>
      </w:tr>
      <w:tr w:rsidR="00B90455" w:rsidRPr="00B90455" w14:paraId="36B7BD35" w14:textId="77777777" w:rsidTr="00B90455">
        <w:tc>
          <w:tcPr>
            <w:tcW w:w="0" w:type="auto"/>
            <w:shd w:val="clear" w:color="auto" w:fill="FFFFFF"/>
            <w:vAlign w:val="center"/>
            <w:hideMark/>
          </w:tcPr>
          <w:p w14:paraId="4A3CBA58" w14:textId="77777777" w:rsidR="00B90455" w:rsidRPr="00B90455" w:rsidRDefault="00B90455" w:rsidP="00B90455">
            <w:r w:rsidRPr="00B90455">
              <w:t>Pentossido di fosforo (P2O5) solubile in acqua:</w:t>
            </w:r>
          </w:p>
        </w:tc>
        <w:tc>
          <w:tcPr>
            <w:tcW w:w="0" w:type="auto"/>
            <w:shd w:val="clear" w:color="auto" w:fill="FFFFFF"/>
            <w:vAlign w:val="center"/>
            <w:hideMark/>
          </w:tcPr>
          <w:p w14:paraId="16C5A0D5" w14:textId="77777777" w:rsidR="00B90455" w:rsidRPr="00B90455" w:rsidRDefault="00B90455" w:rsidP="00B90455">
            <w:r w:rsidRPr="00B90455">
              <w:t>53%</w:t>
            </w:r>
          </w:p>
        </w:tc>
      </w:tr>
      <w:tr w:rsidR="00B90455" w:rsidRPr="00B90455" w14:paraId="3ED1296B" w14:textId="77777777" w:rsidTr="00B90455">
        <w:tc>
          <w:tcPr>
            <w:tcW w:w="0" w:type="auto"/>
            <w:shd w:val="clear" w:color="auto" w:fill="FFFFFF"/>
            <w:vAlign w:val="center"/>
            <w:hideMark/>
          </w:tcPr>
          <w:p w14:paraId="41E26C13" w14:textId="77777777" w:rsidR="00B90455" w:rsidRPr="00B90455" w:rsidRDefault="00B90455" w:rsidP="00B90455">
            <w:r w:rsidRPr="00B90455">
              <w:t>Ossido di potassio (K2O) solubile in acqua: </w:t>
            </w:r>
          </w:p>
        </w:tc>
        <w:tc>
          <w:tcPr>
            <w:tcW w:w="0" w:type="auto"/>
            <w:shd w:val="clear" w:color="auto" w:fill="FFFFFF"/>
            <w:vAlign w:val="center"/>
            <w:hideMark/>
          </w:tcPr>
          <w:p w14:paraId="2658FC3B" w14:textId="77777777" w:rsidR="00B90455" w:rsidRPr="00B90455" w:rsidRDefault="00B90455" w:rsidP="00B90455">
            <w:r w:rsidRPr="00B90455">
              <w:t>1.3%</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E23B7"/>
    <w:multiLevelType w:val="multilevel"/>
    <w:tmpl w:val="B242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18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1A0752"/>
    <w:rsid w:val="00485BFB"/>
    <w:rsid w:val="00746EAF"/>
    <w:rsid w:val="009E2D89"/>
    <w:rsid w:val="00B90455"/>
    <w:rsid w:val="00D40749"/>
    <w:rsid w:val="00E61204"/>
    <w:rsid w:val="00F606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361325028">
      <w:bodyDiv w:val="1"/>
      <w:marLeft w:val="0"/>
      <w:marRight w:val="0"/>
      <w:marTop w:val="0"/>
      <w:marBottom w:val="0"/>
      <w:divBdr>
        <w:top w:val="none" w:sz="0" w:space="0" w:color="auto"/>
        <w:left w:val="none" w:sz="0" w:space="0" w:color="auto"/>
        <w:bottom w:val="none" w:sz="0" w:space="0" w:color="auto"/>
        <w:right w:val="none" w:sz="0" w:space="0" w:color="auto"/>
      </w:divBdr>
    </w:div>
    <w:div w:id="482744457">
      <w:bodyDiv w:val="1"/>
      <w:marLeft w:val="0"/>
      <w:marRight w:val="0"/>
      <w:marTop w:val="0"/>
      <w:marBottom w:val="0"/>
      <w:divBdr>
        <w:top w:val="none" w:sz="0" w:space="0" w:color="auto"/>
        <w:left w:val="none" w:sz="0" w:space="0" w:color="auto"/>
        <w:bottom w:val="none" w:sz="0" w:space="0" w:color="auto"/>
        <w:right w:val="none" w:sz="0" w:space="0" w:color="auto"/>
      </w:divBdr>
    </w:div>
    <w:div w:id="610013607">
      <w:bodyDiv w:val="1"/>
      <w:marLeft w:val="0"/>
      <w:marRight w:val="0"/>
      <w:marTop w:val="0"/>
      <w:marBottom w:val="0"/>
      <w:divBdr>
        <w:top w:val="none" w:sz="0" w:space="0" w:color="auto"/>
        <w:left w:val="none" w:sz="0" w:space="0" w:color="auto"/>
        <w:bottom w:val="none" w:sz="0" w:space="0" w:color="auto"/>
        <w:right w:val="none" w:sz="0" w:space="0" w:color="auto"/>
      </w:divBdr>
    </w:div>
    <w:div w:id="88961255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081172600">
      <w:bodyDiv w:val="1"/>
      <w:marLeft w:val="0"/>
      <w:marRight w:val="0"/>
      <w:marTop w:val="0"/>
      <w:marBottom w:val="0"/>
      <w:divBdr>
        <w:top w:val="none" w:sz="0" w:space="0" w:color="auto"/>
        <w:left w:val="none" w:sz="0" w:space="0" w:color="auto"/>
        <w:bottom w:val="none" w:sz="0" w:space="0" w:color="auto"/>
        <w:right w:val="none" w:sz="0" w:space="0" w:color="auto"/>
      </w:divBdr>
    </w:div>
    <w:div w:id="1101415257">
      <w:bodyDiv w:val="1"/>
      <w:marLeft w:val="0"/>
      <w:marRight w:val="0"/>
      <w:marTop w:val="0"/>
      <w:marBottom w:val="0"/>
      <w:divBdr>
        <w:top w:val="none" w:sz="0" w:space="0" w:color="auto"/>
        <w:left w:val="none" w:sz="0" w:space="0" w:color="auto"/>
        <w:bottom w:val="none" w:sz="0" w:space="0" w:color="auto"/>
        <w:right w:val="none" w:sz="0" w:space="0" w:color="auto"/>
      </w:divBdr>
    </w:div>
    <w:div w:id="1128359964">
      <w:bodyDiv w:val="1"/>
      <w:marLeft w:val="0"/>
      <w:marRight w:val="0"/>
      <w:marTop w:val="0"/>
      <w:marBottom w:val="0"/>
      <w:divBdr>
        <w:top w:val="none" w:sz="0" w:space="0" w:color="auto"/>
        <w:left w:val="none" w:sz="0" w:space="0" w:color="auto"/>
        <w:bottom w:val="none" w:sz="0" w:space="0" w:color="auto"/>
        <w:right w:val="none" w:sz="0" w:space="0" w:color="auto"/>
      </w:divBdr>
    </w:div>
    <w:div w:id="1154879565">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841042646">
      <w:bodyDiv w:val="1"/>
      <w:marLeft w:val="0"/>
      <w:marRight w:val="0"/>
      <w:marTop w:val="0"/>
      <w:marBottom w:val="0"/>
      <w:divBdr>
        <w:top w:val="none" w:sz="0" w:space="0" w:color="auto"/>
        <w:left w:val="none" w:sz="0" w:space="0" w:color="auto"/>
        <w:bottom w:val="none" w:sz="0" w:space="0" w:color="auto"/>
        <w:right w:val="none" w:sz="0" w:space="0" w:color="auto"/>
      </w:divBdr>
    </w:div>
    <w:div w:id="20349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download/it/tabla_IT.pdf" TargetMode="External"/><Relationship Id="rId5" Type="http://schemas.openxmlformats.org/officeDocument/2006/relationships/hyperlink" Target="https://www.youtube.com/channel/UCI6jiodEhSPt3Wqf1VEnXJ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321</Words>
  <Characters>1768</Characters>
  <Application>Microsoft Office Word</Application>
  <DocSecurity>0</DocSecurity>
  <Lines>14</Lines>
  <Paragraphs>4</Paragraphs>
  <ScaleCrop>false</ScaleCrop>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2022-11-22T12:21:00Z</dcterms:modified>
</cp:coreProperties>
</file>