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8EBD177" w:rsidR="00026EEA" w:rsidRPr="00026EEA" w:rsidRDefault="00026EEA" w:rsidP="00026EEA">
      <w:r>
        <w:rPr>
          <w:b/>
          <w:bCs/>
        </w:rPr>
        <w:t>DESCRI</w:t>
      </w:r>
      <w:r w:rsidR="00F606A6">
        <w:rPr>
          <w:b/>
          <w:bCs/>
        </w:rPr>
        <w:t>ZIONE</w:t>
      </w:r>
    </w:p>
    <w:p w14:paraId="2F03958F" w14:textId="77777777" w:rsidR="00210AEB" w:rsidRPr="00210AEB" w:rsidRDefault="00210AEB" w:rsidP="00210AEB">
      <w:r w:rsidRPr="00210AEB">
        <w:rPr>
          <w:b/>
          <w:bCs/>
        </w:rPr>
        <w:t>Top Tabs</w:t>
      </w:r>
      <w:r w:rsidRPr="00210AEB">
        <w:t> di </w:t>
      </w:r>
      <w:r w:rsidRPr="00210AEB">
        <w:rPr>
          <w:b/>
          <w:bCs/>
        </w:rPr>
        <w:t>Top Crop</w:t>
      </w:r>
      <w:r w:rsidRPr="00210AEB">
        <w:t> sono pastiglie organo-minerali che vengono applicate al substrato, rilasciando gradualmente i nutrienti durante il ciclo della pianta.</w:t>
      </w:r>
    </w:p>
    <w:p w14:paraId="378D4B44" w14:textId="77777777" w:rsidR="00210AEB" w:rsidRPr="00210AEB" w:rsidRDefault="00210AEB" w:rsidP="00210AEB">
      <w:r w:rsidRPr="00210AEB">
        <w:t>La sua formula con fertilizzanti di base (NPK) e microelementi, è arricchita con magnesio ed estratto di alghe e garantisce l'apporto di nutrienti di base nelle fasi di crescita e fioritura grazie al suo lento rilascio. Dimenticatevi di preoccuparvi di quale fertilizzante usare o di quale sia la dose più appropriata. Top Tabs lo rende facile per voi, risparmiando tempo e denaro. Basta una pastiglia Top Tabs per ogni 3-4 litri di substrato.</w:t>
      </w:r>
    </w:p>
    <w:p w14:paraId="428D5202" w14:textId="77777777" w:rsidR="00210AEB" w:rsidRPr="00210AEB" w:rsidRDefault="00210AEB" w:rsidP="00210AEB">
      <w:r w:rsidRPr="00210AEB">
        <w:t>Con Top Tabs otterrete risultati più che soddisfacenti, sia nelle coltivazioni indoor che outdoor. Adatto alla coltivazione in terra, in fibra di cocco o alla coltivazione diretta in terra, semplificando il lavoro per coloro che praticano la guerriglia.</w:t>
      </w:r>
    </w:p>
    <w:p w14:paraId="428FFC8E" w14:textId="77777777" w:rsidR="00210AEB" w:rsidRPr="00210AEB" w:rsidRDefault="00210AEB" w:rsidP="00210AEB">
      <w:r w:rsidRPr="00210AEB">
        <w:t>In caso di trapianto, si può aggiungere la pastiglia al substrato al momento più opportuno.</w:t>
      </w:r>
    </w:p>
    <w:p w14:paraId="28D8A7A8" w14:textId="77777777" w:rsidR="00210AEB" w:rsidRPr="00210AEB" w:rsidRDefault="00210AEB" w:rsidP="00210AEB">
      <w:r w:rsidRPr="00210AEB">
        <w:t>Nelle colture da seme non applicare prima di 15 giorni dalla germinazione.</w:t>
      </w:r>
    </w:p>
    <w:p w14:paraId="1AA4AA3B" w14:textId="77777777" w:rsidR="00210AEB" w:rsidRPr="00210AEB" w:rsidRDefault="00210AEB" w:rsidP="00210AEB">
      <w:r w:rsidRPr="00210AEB">
        <w:t>Adatto a tutti i tipi di piante ornamentali, alberi da frutto o arbusti.</w:t>
      </w:r>
    </w:p>
    <w:p w14:paraId="3A2356E0" w14:textId="77777777" w:rsidR="00210AEB" w:rsidRPr="00210AEB" w:rsidRDefault="00210AEB" w:rsidP="00210AEB">
      <w:r w:rsidRPr="00210AEB">
        <w:rPr>
          <w:b/>
          <w:bCs/>
        </w:rPr>
        <w:t>COME USARE TOP TABS DI TOP CROP</w:t>
      </w:r>
    </w:p>
    <w:p w14:paraId="78C8A71D" w14:textId="77777777" w:rsidR="00210AEB" w:rsidRPr="00210AEB" w:rsidRDefault="00210AEB" w:rsidP="00210AEB">
      <w:r w:rsidRPr="00210AEB">
        <w:t>Top Tabs sono facili da usare. Basta applicare una pastiglia ogni 3-4 litri di substrato e affondarla a 10-15 cm di profondità, il più vicino possibile alle pareti del vaso e il più lontano possibile l'uno dall'altro. Le pastiglie non devono toccare le radici, quindi si raccomanda di metterle a una distanza di 5-15 cm dal fusto. L'acqua di irrigazione rilascerà i nutrienti al substrato in modo controllato.</w:t>
      </w:r>
    </w:p>
    <w:p w14:paraId="44BFF846" w14:textId="77777777" w:rsidR="00210AEB" w:rsidRPr="00210AEB" w:rsidRDefault="00210AEB" w:rsidP="00210AEB">
      <w:r w:rsidRPr="00210AEB">
        <w:t>Nel caso di usare diverse pastiglie, devono essere ben distribuite in modo che non siano troppo vicini. Infine, inumidire il substrato con acqua.</w:t>
      </w:r>
    </w:p>
    <w:p w14:paraId="13A46F46" w14:textId="77777777" w:rsidR="00210AEB" w:rsidRPr="00210AEB" w:rsidRDefault="00210AEB" w:rsidP="00210AEB">
      <w:r w:rsidRPr="00210AEB">
        <w:t>Una volta che la pastiglia è sepolta nel substrato, dobbiamo solo annaffiarla quando è necessario. Le sostanze nutritive contenute nelle compresse Top Tabs saranno rilasciate poco a poco dopo ogni irrigazione. Pertanto, assicuratevi che il substrato sia mantenuto umido.</w:t>
      </w:r>
    </w:p>
    <w:p w14:paraId="264D7BBD" w14:textId="77777777" w:rsidR="00210AEB" w:rsidRPr="00210AEB" w:rsidRDefault="00210AEB" w:rsidP="00210AEB">
      <w:r w:rsidRPr="00210AEB">
        <w:t>Le pastiglie non sono progettate per essere sbriciolate o sciolte in acqua prima dell'uso.</w:t>
      </w:r>
    </w:p>
    <w:p w14:paraId="0590DB0E" w14:textId="77777777" w:rsidR="00210AEB" w:rsidRPr="00210AEB" w:rsidRDefault="00210AEB" w:rsidP="00210AEB">
      <w:r w:rsidRPr="00210AEB">
        <w:rPr>
          <w:b/>
          <w:bCs/>
        </w:rPr>
        <w:t>COME COMBINARE TOP TABS CON ALTRI PRODOTTI TOP CROP</w:t>
      </w:r>
    </w:p>
    <w:p w14:paraId="21304FF3" w14:textId="77777777" w:rsidR="00210AEB" w:rsidRPr="00210AEB" w:rsidRDefault="00210AEB" w:rsidP="00210AEB">
      <w:r w:rsidRPr="00210AEB">
        <w:t>Top Tabs hanno un'alta concentrazione di nutrienti in modo che il vostro raccolto non soffra di alcuna carenza. Per ottenere i migliori risultati è possibile combinare Top Tabs con altri prodotti Top Crop. </w:t>
      </w:r>
    </w:p>
    <w:p w14:paraId="5577E907" w14:textId="77777777" w:rsidR="00210AEB" w:rsidRPr="00210AEB" w:rsidRDefault="00210AEB" w:rsidP="00210AEB">
      <w:r w:rsidRPr="00210AEB">
        <w:t>Nella preparazione del substrato si può applicare </w:t>
      </w:r>
      <w:hyperlink r:id="rId4" w:history="1">
        <w:r w:rsidRPr="00210AEB">
          <w:rPr>
            <w:rStyle w:val="Hipervnculo"/>
          </w:rPr>
          <w:t>Micro Vita</w:t>
        </w:r>
      </w:hyperlink>
      <w:r w:rsidRPr="00210AEB">
        <w:t> e </w:t>
      </w:r>
      <w:hyperlink r:id="rId5" w:history="1">
        <w:r w:rsidRPr="00210AEB">
          <w:rPr>
            <w:rStyle w:val="Hipervnculo"/>
          </w:rPr>
          <w:t>Top Candy</w:t>
        </w:r>
      </w:hyperlink>
      <w:r w:rsidRPr="00210AEB">
        <w:t> che aiuterà la proliferazione di microrganismi efficienti.</w:t>
      </w:r>
    </w:p>
    <w:p w14:paraId="7433A3E1" w14:textId="77777777" w:rsidR="00210AEB" w:rsidRPr="00210AEB" w:rsidRDefault="00210AEB" w:rsidP="00210AEB">
      <w:r w:rsidRPr="00210AEB">
        <w:t>Durante la fase di radicazione è possibile aggiungere </w:t>
      </w:r>
      <w:hyperlink r:id="rId6" w:history="1">
        <w:r w:rsidRPr="00210AEB">
          <w:rPr>
            <w:rStyle w:val="Hipervnculo"/>
          </w:rPr>
          <w:t>Micro Vita</w:t>
        </w:r>
      </w:hyperlink>
      <w:r w:rsidRPr="00210AEB">
        <w:t> e </w:t>
      </w:r>
      <w:hyperlink r:id="rId7" w:history="1">
        <w:r w:rsidRPr="00210AEB">
          <w:rPr>
            <w:rStyle w:val="Hipervnculo"/>
          </w:rPr>
          <w:t>Deeper Underground</w:t>
        </w:r>
      </w:hyperlink>
      <w:r w:rsidRPr="00210AEB">
        <w:t> al substrato in diverse annaffiature, contribuendo allo sviluppo di un sistema radicale sano e forte. Questo farà avanzare l'assimilazione dei macronutrienti Top Tabs da parte della pianta. Inoltre, è possibile utilizzare lo stimolatore di crescita </w:t>
      </w:r>
      <w:hyperlink r:id="rId8" w:history="1">
        <w:r w:rsidRPr="00210AEB">
          <w:rPr>
            <w:rStyle w:val="Hipervnculo"/>
          </w:rPr>
          <w:t>Green Explosion</w:t>
        </w:r>
      </w:hyperlink>
      <w:r w:rsidRPr="00210AEB">
        <w:t> per via fogliare dalla terza settimana di vita.</w:t>
      </w:r>
    </w:p>
    <w:p w14:paraId="7C22F5FB" w14:textId="77777777" w:rsidR="00210AEB" w:rsidRPr="00210AEB" w:rsidRDefault="00210AEB" w:rsidP="00210AEB">
      <w:r w:rsidRPr="00210AEB">
        <w:t>In prefioritura, raccomandiamo l'uso di </w:t>
      </w:r>
      <w:hyperlink r:id="rId9" w:history="1">
        <w:r w:rsidRPr="00210AEB">
          <w:rPr>
            <w:rStyle w:val="Hipervnculo"/>
          </w:rPr>
          <w:t>Big One</w:t>
        </w:r>
      </w:hyperlink>
      <w:r w:rsidRPr="00210AEB">
        <w:t> come stimolatore di fioritura. Si consiglia di usarlo a spruzzo nelle prime applicazioni (ogni 10 giorni), e poi usarlo in irrigazione.</w:t>
      </w:r>
    </w:p>
    <w:p w14:paraId="64439924" w14:textId="77777777" w:rsidR="00210AEB" w:rsidRPr="00210AEB" w:rsidRDefault="00210AEB" w:rsidP="00210AEB">
      <w:r w:rsidRPr="00210AEB">
        <w:lastRenderedPageBreak/>
        <w:t>Nella fase di fioritura si può aggiungere un altro supplemento di </w:t>
      </w:r>
      <w:hyperlink r:id="rId10" w:history="1">
        <w:r w:rsidRPr="00210AEB">
          <w:rPr>
            <w:rStyle w:val="Hipervnculo"/>
          </w:rPr>
          <w:t>Micro Vita</w:t>
        </w:r>
      </w:hyperlink>
      <w:r w:rsidRPr="00210AEB">
        <w:t> insieme a </w:t>
      </w:r>
      <w:hyperlink r:id="rId11" w:history="1">
        <w:r w:rsidRPr="00210AEB">
          <w:rPr>
            <w:rStyle w:val="Hipervnculo"/>
          </w:rPr>
          <w:t>Top Candy</w:t>
        </w:r>
      </w:hyperlink>
      <w:r w:rsidRPr="00210AEB">
        <w:t>, fertilizzante organico al 100%. Il tocco finale per boccioli voluminosi sarà fatto con le irrigazioni </w:t>
      </w:r>
      <w:hyperlink r:id="rId12" w:history="1">
        <w:r w:rsidRPr="00210AEB">
          <w:rPr>
            <w:rStyle w:val="Hipervnculo"/>
          </w:rPr>
          <w:t>Top Bud</w:t>
        </w:r>
      </w:hyperlink>
      <w:r w:rsidRPr="00210AEB">
        <w:t>.</w:t>
      </w:r>
    </w:p>
    <w:p w14:paraId="1056D6C5" w14:textId="77777777" w:rsidR="00210AEB" w:rsidRPr="00210AEB" w:rsidRDefault="00210AEB" w:rsidP="00210AEB">
      <w:r w:rsidRPr="00210AEB">
        <w:rPr>
          <w:b/>
          <w:bCs/>
        </w:rPr>
        <w:t>CONSIGLI</w:t>
      </w:r>
    </w:p>
    <w:p w14:paraId="6E79EB20" w14:textId="77777777" w:rsidR="00210AEB" w:rsidRPr="00210AEB" w:rsidRDefault="00210AEB" w:rsidP="00210AEB">
      <w:r w:rsidRPr="00210AEB">
        <w:t>Conservare in luogo fresco e asciutto nella confezione originale. Evitare temperature estreme. Proteggere dalla luce del sole. Top Tabs ha una durata minima di conservazione di due anni dalla data di produzione se conservato secondo le osservazioni indicate.</w:t>
      </w:r>
      <w:r w:rsidRPr="00210AEB">
        <w:br/>
        <w:t>- Non mangiare, bere o fumare durante il suo utilizzo.</w:t>
      </w:r>
      <w:r w:rsidRPr="00210AEB">
        <w:br/>
        <w:t>- Tenere fuori dalla portata dei bambini.</w:t>
      </w:r>
    </w:p>
    <w:p w14:paraId="563E273B" w14:textId="77777777" w:rsidR="00210AEB" w:rsidRPr="00210AEB" w:rsidRDefault="00210AEB" w:rsidP="00210AEB">
      <w:r w:rsidRPr="00210AEB">
        <w:rPr>
          <w:b/>
          <w:bCs/>
        </w:rPr>
        <w:t>FORMATI</w:t>
      </w:r>
    </w:p>
    <w:p w14:paraId="36237826" w14:textId="36C27096" w:rsidR="00210AEB" w:rsidRPr="00210AEB" w:rsidRDefault="00210AEB">
      <w:r w:rsidRPr="00210AEB">
        <w:t>Top Tabs di Top Crop è disponibile nei seguenti formati:</w:t>
      </w:r>
      <w:r w:rsidRPr="00210AEB">
        <w:br/>
        <w:t>20 Tabs - 200g</w:t>
      </w:r>
      <w:r w:rsidRPr="00210AEB">
        <w:br/>
        <w:t>100 Tabs - 1Kg</w:t>
      </w:r>
      <w:r w:rsidRPr="00210AEB">
        <w:br/>
        <w:t>500 Tabs - 5Kg</w:t>
      </w:r>
    </w:p>
    <w:p w14:paraId="7ADA2D43" w14:textId="17A1D2DF" w:rsidR="00E61204" w:rsidRDefault="00026EEA">
      <w:r>
        <w:rPr>
          <w:b/>
          <w:bCs/>
        </w:rPr>
        <w:t>COMPOSI</w:t>
      </w:r>
      <w:r w:rsidR="00F606A6">
        <w:rPr>
          <w:b/>
          <w:bCs/>
        </w:rPr>
        <w:t>ZIONE</w:t>
      </w:r>
    </w:p>
    <w:tbl>
      <w:tblPr>
        <w:tblW w:w="5610" w:type="dxa"/>
        <w:tblCellMar>
          <w:top w:w="15" w:type="dxa"/>
          <w:left w:w="15" w:type="dxa"/>
          <w:bottom w:w="15" w:type="dxa"/>
          <w:right w:w="15" w:type="dxa"/>
        </w:tblCellMar>
        <w:tblLook w:val="04A0" w:firstRow="1" w:lastRow="0" w:firstColumn="1" w:lastColumn="0" w:noHBand="0" w:noVBand="1"/>
      </w:tblPr>
      <w:tblGrid>
        <w:gridCol w:w="4905"/>
        <w:gridCol w:w="705"/>
      </w:tblGrid>
      <w:tr w:rsidR="00067C69" w:rsidRPr="00067C69" w14:paraId="22F245F9" w14:textId="77777777" w:rsidTr="00067C69">
        <w:tc>
          <w:tcPr>
            <w:tcW w:w="0" w:type="auto"/>
            <w:shd w:val="clear" w:color="auto" w:fill="auto"/>
            <w:vAlign w:val="center"/>
            <w:hideMark/>
          </w:tcPr>
          <w:p w14:paraId="1F2C271D" w14:textId="77777777" w:rsidR="00067C69" w:rsidRPr="00067C69" w:rsidRDefault="00067C69" w:rsidP="00067C69">
            <w:r w:rsidRPr="00067C69">
              <w:t>Componente</w:t>
            </w:r>
          </w:p>
        </w:tc>
        <w:tc>
          <w:tcPr>
            <w:tcW w:w="0" w:type="auto"/>
            <w:shd w:val="clear" w:color="auto" w:fill="auto"/>
            <w:vAlign w:val="center"/>
            <w:hideMark/>
          </w:tcPr>
          <w:p w14:paraId="7BE53369" w14:textId="77777777" w:rsidR="00067C69" w:rsidRPr="00067C69" w:rsidRDefault="00067C69" w:rsidP="00067C69">
            <w:r w:rsidRPr="00067C69">
              <w:t>%</w:t>
            </w:r>
          </w:p>
        </w:tc>
      </w:tr>
      <w:tr w:rsidR="00067C69" w:rsidRPr="00067C69" w14:paraId="47DCDF37" w14:textId="77777777" w:rsidTr="00067C69">
        <w:tc>
          <w:tcPr>
            <w:tcW w:w="0" w:type="auto"/>
            <w:shd w:val="clear" w:color="auto" w:fill="auto"/>
            <w:vAlign w:val="center"/>
            <w:hideMark/>
          </w:tcPr>
          <w:p w14:paraId="43731AA1" w14:textId="77777777" w:rsidR="00067C69" w:rsidRPr="00067C69" w:rsidRDefault="00067C69" w:rsidP="00067C69">
            <w:r w:rsidRPr="00067C69">
              <w:t>Azoto (N) totale:</w:t>
            </w:r>
          </w:p>
        </w:tc>
        <w:tc>
          <w:tcPr>
            <w:tcW w:w="0" w:type="auto"/>
            <w:shd w:val="clear" w:color="auto" w:fill="auto"/>
            <w:vAlign w:val="center"/>
            <w:hideMark/>
          </w:tcPr>
          <w:p w14:paraId="31D15CAB" w14:textId="77777777" w:rsidR="00067C69" w:rsidRPr="00067C69" w:rsidRDefault="00067C69" w:rsidP="00067C69">
            <w:r w:rsidRPr="00067C69">
              <w:t>14.0 %</w:t>
            </w:r>
          </w:p>
        </w:tc>
      </w:tr>
      <w:tr w:rsidR="00067C69" w:rsidRPr="00067C69" w14:paraId="3A13B73B" w14:textId="77777777" w:rsidTr="00067C69">
        <w:tc>
          <w:tcPr>
            <w:tcW w:w="0" w:type="auto"/>
            <w:shd w:val="clear" w:color="auto" w:fill="auto"/>
            <w:vAlign w:val="center"/>
            <w:hideMark/>
          </w:tcPr>
          <w:p w14:paraId="7F6C2BAD" w14:textId="77777777" w:rsidR="00067C69" w:rsidRPr="00067C69" w:rsidRDefault="00067C69" w:rsidP="00067C69">
            <w:r w:rsidRPr="00067C69">
              <w:t>Azoto (N) da urea formaldeide</w:t>
            </w:r>
          </w:p>
        </w:tc>
        <w:tc>
          <w:tcPr>
            <w:tcW w:w="0" w:type="auto"/>
            <w:shd w:val="clear" w:color="auto" w:fill="auto"/>
            <w:vAlign w:val="center"/>
            <w:hideMark/>
          </w:tcPr>
          <w:p w14:paraId="73D47EDC" w14:textId="77777777" w:rsidR="00067C69" w:rsidRPr="00067C69" w:rsidRDefault="00067C69" w:rsidP="00067C69">
            <w:r w:rsidRPr="00067C69">
              <w:t>5.7 %</w:t>
            </w:r>
          </w:p>
        </w:tc>
      </w:tr>
      <w:tr w:rsidR="00067C69" w:rsidRPr="00067C69" w14:paraId="58528976" w14:textId="77777777" w:rsidTr="00067C69">
        <w:tc>
          <w:tcPr>
            <w:tcW w:w="0" w:type="auto"/>
            <w:shd w:val="clear" w:color="auto" w:fill="auto"/>
            <w:vAlign w:val="center"/>
            <w:hideMark/>
          </w:tcPr>
          <w:p w14:paraId="21692F46" w14:textId="77777777" w:rsidR="00067C69" w:rsidRPr="00067C69" w:rsidRDefault="00067C69" w:rsidP="00067C69">
            <w:r w:rsidRPr="00067C69">
              <w:t>Azoto (N) da urea formaldeide solubile in acqua fredda</w:t>
            </w:r>
          </w:p>
        </w:tc>
        <w:tc>
          <w:tcPr>
            <w:tcW w:w="0" w:type="auto"/>
            <w:shd w:val="clear" w:color="auto" w:fill="auto"/>
            <w:vAlign w:val="center"/>
            <w:hideMark/>
          </w:tcPr>
          <w:p w14:paraId="5B4745ED" w14:textId="77777777" w:rsidR="00067C69" w:rsidRPr="00067C69" w:rsidRDefault="00067C69" w:rsidP="00067C69">
            <w:r w:rsidRPr="00067C69">
              <w:t>2.9 %</w:t>
            </w:r>
          </w:p>
        </w:tc>
      </w:tr>
      <w:tr w:rsidR="00067C69" w:rsidRPr="00067C69" w14:paraId="35CBCE25" w14:textId="77777777" w:rsidTr="00067C69">
        <w:tc>
          <w:tcPr>
            <w:tcW w:w="0" w:type="auto"/>
            <w:shd w:val="clear" w:color="auto" w:fill="auto"/>
            <w:vAlign w:val="center"/>
            <w:hideMark/>
          </w:tcPr>
          <w:p w14:paraId="71705113" w14:textId="77777777" w:rsidR="00067C69" w:rsidRPr="00067C69" w:rsidRDefault="00067C69" w:rsidP="00067C69">
            <w:r w:rsidRPr="00067C69">
              <w:t>Azoto (N) da urea formaldeide solubile solo in acqua calda</w:t>
            </w:r>
          </w:p>
        </w:tc>
        <w:tc>
          <w:tcPr>
            <w:tcW w:w="0" w:type="auto"/>
            <w:shd w:val="clear" w:color="auto" w:fill="auto"/>
            <w:vAlign w:val="center"/>
            <w:hideMark/>
          </w:tcPr>
          <w:p w14:paraId="7CE3449A" w14:textId="77777777" w:rsidR="00067C69" w:rsidRPr="00067C69" w:rsidRDefault="00067C69" w:rsidP="00067C69">
            <w:r w:rsidRPr="00067C69">
              <w:t>2.1 %</w:t>
            </w:r>
          </w:p>
        </w:tc>
      </w:tr>
      <w:tr w:rsidR="00067C69" w:rsidRPr="00067C69" w14:paraId="4CF74E74" w14:textId="77777777" w:rsidTr="00067C69">
        <w:tc>
          <w:tcPr>
            <w:tcW w:w="0" w:type="auto"/>
            <w:shd w:val="clear" w:color="auto" w:fill="auto"/>
            <w:vAlign w:val="center"/>
            <w:hideMark/>
          </w:tcPr>
          <w:p w14:paraId="66B02134" w14:textId="77777777" w:rsidR="00067C69" w:rsidRPr="00067C69" w:rsidRDefault="00067C69" w:rsidP="00067C69">
            <w:r w:rsidRPr="00067C69">
              <w:rPr>
                <w:lang w:val="it-IT"/>
              </w:rPr>
              <w:t>Azoto (N) ureico</w:t>
            </w:r>
          </w:p>
        </w:tc>
        <w:tc>
          <w:tcPr>
            <w:tcW w:w="0" w:type="auto"/>
            <w:shd w:val="clear" w:color="auto" w:fill="auto"/>
            <w:vAlign w:val="center"/>
            <w:hideMark/>
          </w:tcPr>
          <w:p w14:paraId="0DF6B7D6" w14:textId="77777777" w:rsidR="00067C69" w:rsidRPr="00067C69" w:rsidRDefault="00067C69" w:rsidP="00067C69">
            <w:r w:rsidRPr="00067C69">
              <w:rPr>
                <w:lang w:val="it-IT"/>
              </w:rPr>
              <w:t>4.1 %</w:t>
            </w:r>
          </w:p>
        </w:tc>
      </w:tr>
      <w:tr w:rsidR="00067C69" w:rsidRPr="00067C69" w14:paraId="01F8C339" w14:textId="77777777" w:rsidTr="00067C69">
        <w:tc>
          <w:tcPr>
            <w:tcW w:w="0" w:type="auto"/>
            <w:shd w:val="clear" w:color="auto" w:fill="auto"/>
            <w:vAlign w:val="center"/>
            <w:hideMark/>
          </w:tcPr>
          <w:p w14:paraId="46899D72" w14:textId="77777777" w:rsidR="00067C69" w:rsidRPr="00067C69" w:rsidRDefault="00067C69" w:rsidP="00067C69">
            <w:r w:rsidRPr="00067C69">
              <w:rPr>
                <w:lang w:val="it-IT"/>
              </w:rPr>
              <w:t>Azoto (N) ammoniacale</w:t>
            </w:r>
          </w:p>
        </w:tc>
        <w:tc>
          <w:tcPr>
            <w:tcW w:w="0" w:type="auto"/>
            <w:shd w:val="clear" w:color="auto" w:fill="auto"/>
            <w:vAlign w:val="center"/>
            <w:hideMark/>
          </w:tcPr>
          <w:p w14:paraId="2869E812" w14:textId="77777777" w:rsidR="00067C69" w:rsidRPr="00067C69" w:rsidRDefault="00067C69" w:rsidP="00067C69">
            <w:r w:rsidRPr="00067C69">
              <w:rPr>
                <w:lang w:val="it-IT"/>
              </w:rPr>
              <w:t>3.2 %</w:t>
            </w:r>
          </w:p>
        </w:tc>
      </w:tr>
      <w:tr w:rsidR="00067C69" w:rsidRPr="00067C69" w14:paraId="6AA48210" w14:textId="77777777" w:rsidTr="00067C69">
        <w:tc>
          <w:tcPr>
            <w:tcW w:w="0" w:type="auto"/>
            <w:shd w:val="clear" w:color="auto" w:fill="auto"/>
            <w:vAlign w:val="center"/>
            <w:hideMark/>
          </w:tcPr>
          <w:p w14:paraId="3F661C87" w14:textId="77777777" w:rsidR="00067C69" w:rsidRPr="00067C69" w:rsidRDefault="00067C69" w:rsidP="00067C69">
            <w:r w:rsidRPr="00067C69">
              <w:t>Azoto (N) nitrico</w:t>
            </w:r>
          </w:p>
        </w:tc>
        <w:tc>
          <w:tcPr>
            <w:tcW w:w="0" w:type="auto"/>
            <w:shd w:val="clear" w:color="auto" w:fill="auto"/>
            <w:vAlign w:val="center"/>
            <w:hideMark/>
          </w:tcPr>
          <w:p w14:paraId="4B613113" w14:textId="77777777" w:rsidR="00067C69" w:rsidRPr="00067C69" w:rsidRDefault="00067C69" w:rsidP="00067C69">
            <w:r w:rsidRPr="00067C69">
              <w:t>1.0 %</w:t>
            </w:r>
          </w:p>
        </w:tc>
      </w:tr>
      <w:tr w:rsidR="00067C69" w:rsidRPr="00067C69" w14:paraId="0707E09A" w14:textId="77777777" w:rsidTr="00067C69">
        <w:tc>
          <w:tcPr>
            <w:tcW w:w="0" w:type="auto"/>
            <w:shd w:val="clear" w:color="auto" w:fill="auto"/>
            <w:vAlign w:val="center"/>
            <w:hideMark/>
          </w:tcPr>
          <w:p w14:paraId="441E89B0" w14:textId="77777777" w:rsidR="00067C69" w:rsidRPr="00067C69" w:rsidRDefault="00067C69" w:rsidP="00067C69">
            <w:r w:rsidRPr="00067C69">
              <w:t>Anidride fosforica (P2O5) solubile in citrato di ammonio neutro e in acqua:</w:t>
            </w:r>
          </w:p>
        </w:tc>
        <w:tc>
          <w:tcPr>
            <w:tcW w:w="0" w:type="auto"/>
            <w:shd w:val="clear" w:color="auto" w:fill="auto"/>
            <w:vAlign w:val="center"/>
            <w:hideMark/>
          </w:tcPr>
          <w:p w14:paraId="6294F1AA" w14:textId="77777777" w:rsidR="00067C69" w:rsidRPr="00067C69" w:rsidRDefault="00067C69" w:rsidP="00067C69">
            <w:r w:rsidRPr="00067C69">
              <w:t>12.0 %</w:t>
            </w:r>
          </w:p>
        </w:tc>
      </w:tr>
      <w:tr w:rsidR="00067C69" w:rsidRPr="00067C69" w14:paraId="6AE72696" w14:textId="77777777" w:rsidTr="00067C69">
        <w:tc>
          <w:tcPr>
            <w:tcW w:w="0" w:type="auto"/>
            <w:shd w:val="clear" w:color="auto" w:fill="auto"/>
            <w:vAlign w:val="center"/>
            <w:hideMark/>
          </w:tcPr>
          <w:p w14:paraId="54401F41" w14:textId="77777777" w:rsidR="00067C69" w:rsidRPr="00067C69" w:rsidRDefault="00067C69" w:rsidP="00067C69">
            <w:r w:rsidRPr="00067C69">
              <w:t>Anidride fosforica (P2O5) solubile in acqua</w:t>
            </w:r>
          </w:p>
        </w:tc>
        <w:tc>
          <w:tcPr>
            <w:tcW w:w="0" w:type="auto"/>
            <w:shd w:val="clear" w:color="auto" w:fill="auto"/>
            <w:vAlign w:val="center"/>
            <w:hideMark/>
          </w:tcPr>
          <w:p w14:paraId="3AFBDA01" w14:textId="77777777" w:rsidR="00067C69" w:rsidRPr="00067C69" w:rsidRDefault="00067C69" w:rsidP="00067C69">
            <w:r w:rsidRPr="00067C69">
              <w:t>8.0 %</w:t>
            </w:r>
          </w:p>
        </w:tc>
      </w:tr>
      <w:tr w:rsidR="00067C69" w:rsidRPr="00067C69" w14:paraId="5D94270E" w14:textId="77777777" w:rsidTr="00067C69">
        <w:tc>
          <w:tcPr>
            <w:tcW w:w="0" w:type="auto"/>
            <w:shd w:val="clear" w:color="auto" w:fill="auto"/>
            <w:vAlign w:val="center"/>
            <w:hideMark/>
          </w:tcPr>
          <w:p w14:paraId="40C03A9C" w14:textId="77777777" w:rsidR="00067C69" w:rsidRPr="00067C69" w:rsidRDefault="00067C69" w:rsidP="00067C69">
            <w:r w:rsidRPr="00067C69">
              <w:t>Ossido di potassio (K2O) solubile in acqua:</w:t>
            </w:r>
          </w:p>
        </w:tc>
        <w:tc>
          <w:tcPr>
            <w:tcW w:w="0" w:type="auto"/>
            <w:shd w:val="clear" w:color="auto" w:fill="auto"/>
            <w:vAlign w:val="center"/>
            <w:hideMark/>
          </w:tcPr>
          <w:p w14:paraId="29953EBA" w14:textId="77777777" w:rsidR="00067C69" w:rsidRPr="00067C69" w:rsidRDefault="00067C69" w:rsidP="00067C69">
            <w:r w:rsidRPr="00067C69">
              <w:t>18.0 %</w:t>
            </w:r>
          </w:p>
        </w:tc>
      </w:tr>
      <w:tr w:rsidR="00067C69" w:rsidRPr="00067C69" w14:paraId="7B45AEC0" w14:textId="77777777" w:rsidTr="00067C69">
        <w:tc>
          <w:tcPr>
            <w:tcW w:w="0" w:type="auto"/>
            <w:shd w:val="clear" w:color="auto" w:fill="auto"/>
            <w:vAlign w:val="center"/>
            <w:hideMark/>
          </w:tcPr>
          <w:p w14:paraId="17AB3ADA" w14:textId="77777777" w:rsidR="00067C69" w:rsidRPr="00067C69" w:rsidRDefault="00067C69" w:rsidP="00067C69">
            <w:r w:rsidRPr="00067C69">
              <w:t>Ossido di magnesio (MgO):</w:t>
            </w:r>
          </w:p>
        </w:tc>
        <w:tc>
          <w:tcPr>
            <w:tcW w:w="0" w:type="auto"/>
            <w:shd w:val="clear" w:color="auto" w:fill="auto"/>
            <w:vAlign w:val="center"/>
            <w:hideMark/>
          </w:tcPr>
          <w:p w14:paraId="1EFD6CDA" w14:textId="77777777" w:rsidR="00067C69" w:rsidRPr="00067C69" w:rsidRDefault="00067C69" w:rsidP="00067C69">
            <w:r w:rsidRPr="00067C69">
              <w:t>3.0 %</w:t>
            </w:r>
          </w:p>
        </w:tc>
      </w:tr>
      <w:tr w:rsidR="00067C69" w:rsidRPr="00067C69" w14:paraId="1F0D570B" w14:textId="77777777" w:rsidTr="00067C69">
        <w:tc>
          <w:tcPr>
            <w:tcW w:w="0" w:type="auto"/>
            <w:shd w:val="clear" w:color="auto" w:fill="auto"/>
            <w:vAlign w:val="center"/>
            <w:hideMark/>
          </w:tcPr>
          <w:p w14:paraId="3B4DE77F" w14:textId="77777777" w:rsidR="00067C69" w:rsidRPr="00067C69" w:rsidRDefault="00067C69" w:rsidP="00067C69">
            <w:r w:rsidRPr="00067C69">
              <w:t>Zolfo (S):</w:t>
            </w:r>
          </w:p>
        </w:tc>
        <w:tc>
          <w:tcPr>
            <w:tcW w:w="0" w:type="auto"/>
            <w:shd w:val="clear" w:color="auto" w:fill="auto"/>
            <w:vAlign w:val="center"/>
            <w:hideMark/>
          </w:tcPr>
          <w:p w14:paraId="36B6D4C5" w14:textId="77777777" w:rsidR="00067C69" w:rsidRPr="00067C69" w:rsidRDefault="00067C69" w:rsidP="00067C69">
            <w:r w:rsidRPr="00067C69">
              <w:t>6.1 %</w:t>
            </w:r>
          </w:p>
        </w:tc>
      </w:tr>
      <w:tr w:rsidR="00067C69" w:rsidRPr="00067C69" w14:paraId="15A1BB2E" w14:textId="77777777" w:rsidTr="00067C69">
        <w:tc>
          <w:tcPr>
            <w:tcW w:w="0" w:type="auto"/>
            <w:shd w:val="clear" w:color="auto" w:fill="auto"/>
            <w:vAlign w:val="center"/>
            <w:hideMark/>
          </w:tcPr>
          <w:p w14:paraId="5DD113CA" w14:textId="77777777" w:rsidR="00067C69" w:rsidRPr="00067C69" w:rsidRDefault="00067C69" w:rsidP="00067C69">
            <w:r w:rsidRPr="00067C69">
              <w:t>Boro (B) solubile in acqua:</w:t>
            </w:r>
          </w:p>
        </w:tc>
        <w:tc>
          <w:tcPr>
            <w:tcW w:w="0" w:type="auto"/>
            <w:shd w:val="clear" w:color="auto" w:fill="auto"/>
            <w:vAlign w:val="center"/>
            <w:hideMark/>
          </w:tcPr>
          <w:p w14:paraId="38F12192" w14:textId="77777777" w:rsidR="00067C69" w:rsidRPr="00067C69" w:rsidRDefault="00067C69" w:rsidP="00067C69">
            <w:r w:rsidRPr="00067C69">
              <w:t>0.01 %</w:t>
            </w:r>
          </w:p>
        </w:tc>
      </w:tr>
      <w:tr w:rsidR="00067C69" w:rsidRPr="00067C69" w14:paraId="458E63FE" w14:textId="77777777" w:rsidTr="00067C69">
        <w:tc>
          <w:tcPr>
            <w:tcW w:w="0" w:type="auto"/>
            <w:shd w:val="clear" w:color="auto" w:fill="auto"/>
            <w:vAlign w:val="center"/>
            <w:hideMark/>
          </w:tcPr>
          <w:p w14:paraId="78967EB7" w14:textId="77777777" w:rsidR="00067C69" w:rsidRPr="00067C69" w:rsidRDefault="00067C69" w:rsidP="00067C69">
            <w:r w:rsidRPr="00067C69">
              <w:t>Rame (Cu) solubile in acqua:</w:t>
            </w:r>
          </w:p>
        </w:tc>
        <w:tc>
          <w:tcPr>
            <w:tcW w:w="0" w:type="auto"/>
            <w:shd w:val="clear" w:color="auto" w:fill="auto"/>
            <w:vAlign w:val="center"/>
            <w:hideMark/>
          </w:tcPr>
          <w:p w14:paraId="40883CB9" w14:textId="77777777" w:rsidR="00067C69" w:rsidRPr="00067C69" w:rsidRDefault="00067C69" w:rsidP="00067C69">
            <w:r w:rsidRPr="00067C69">
              <w:t>0.040 % </w:t>
            </w:r>
          </w:p>
        </w:tc>
      </w:tr>
      <w:tr w:rsidR="00067C69" w:rsidRPr="00067C69" w14:paraId="2CC72439" w14:textId="77777777" w:rsidTr="00067C69">
        <w:tc>
          <w:tcPr>
            <w:tcW w:w="0" w:type="auto"/>
            <w:shd w:val="clear" w:color="auto" w:fill="auto"/>
            <w:vAlign w:val="center"/>
            <w:hideMark/>
          </w:tcPr>
          <w:p w14:paraId="029ED880" w14:textId="77777777" w:rsidR="00067C69" w:rsidRPr="00067C69" w:rsidRDefault="00067C69" w:rsidP="00067C69">
            <w:r w:rsidRPr="00067C69">
              <w:lastRenderedPageBreak/>
              <w:t>Ferro (Fe) solubile in acqua:</w:t>
            </w:r>
          </w:p>
        </w:tc>
        <w:tc>
          <w:tcPr>
            <w:tcW w:w="0" w:type="auto"/>
            <w:shd w:val="clear" w:color="auto" w:fill="auto"/>
            <w:vAlign w:val="center"/>
            <w:hideMark/>
          </w:tcPr>
          <w:p w14:paraId="22E45615" w14:textId="77777777" w:rsidR="00067C69" w:rsidRPr="00067C69" w:rsidRDefault="00067C69" w:rsidP="00067C69">
            <w:r w:rsidRPr="00067C69">
              <w:t>0.80 % </w:t>
            </w:r>
          </w:p>
        </w:tc>
      </w:tr>
      <w:tr w:rsidR="00067C69" w:rsidRPr="00067C69" w14:paraId="0EFA9720" w14:textId="77777777" w:rsidTr="00067C69">
        <w:tc>
          <w:tcPr>
            <w:tcW w:w="0" w:type="auto"/>
            <w:shd w:val="clear" w:color="auto" w:fill="auto"/>
            <w:vAlign w:val="center"/>
            <w:hideMark/>
          </w:tcPr>
          <w:p w14:paraId="6EC558D9" w14:textId="77777777" w:rsidR="00067C69" w:rsidRPr="00067C69" w:rsidRDefault="00067C69" w:rsidP="00067C69">
            <w:r w:rsidRPr="00067C69">
              <w:t>Manganese (Mn) solubile in acqua: </w:t>
            </w:r>
          </w:p>
        </w:tc>
        <w:tc>
          <w:tcPr>
            <w:tcW w:w="0" w:type="auto"/>
            <w:shd w:val="clear" w:color="auto" w:fill="auto"/>
            <w:vAlign w:val="center"/>
            <w:hideMark/>
          </w:tcPr>
          <w:p w14:paraId="23EE7B3D" w14:textId="77777777" w:rsidR="00067C69" w:rsidRPr="00067C69" w:rsidRDefault="00067C69" w:rsidP="00067C69">
            <w:r w:rsidRPr="00067C69">
              <w:t>0.10 %</w:t>
            </w:r>
          </w:p>
        </w:tc>
      </w:tr>
      <w:tr w:rsidR="00067C69" w:rsidRPr="00067C69" w14:paraId="4C2F2164" w14:textId="77777777" w:rsidTr="00067C69">
        <w:tc>
          <w:tcPr>
            <w:tcW w:w="0" w:type="auto"/>
            <w:shd w:val="clear" w:color="auto" w:fill="auto"/>
            <w:vAlign w:val="center"/>
            <w:hideMark/>
          </w:tcPr>
          <w:p w14:paraId="3E84506F" w14:textId="77777777" w:rsidR="00067C69" w:rsidRPr="00067C69" w:rsidRDefault="00067C69" w:rsidP="00067C69">
            <w:r w:rsidRPr="00067C69">
              <w:t>Molibdeno (Mo) solubile in acqua:</w:t>
            </w:r>
          </w:p>
        </w:tc>
        <w:tc>
          <w:tcPr>
            <w:tcW w:w="0" w:type="auto"/>
            <w:shd w:val="clear" w:color="auto" w:fill="auto"/>
            <w:vAlign w:val="center"/>
            <w:hideMark/>
          </w:tcPr>
          <w:p w14:paraId="750E99CC" w14:textId="77777777" w:rsidR="00067C69" w:rsidRPr="00067C69" w:rsidRDefault="00067C69" w:rsidP="00067C69">
            <w:r w:rsidRPr="00067C69">
              <w:t>0.010 %</w:t>
            </w:r>
          </w:p>
        </w:tc>
      </w:tr>
      <w:tr w:rsidR="00067C69" w:rsidRPr="00067C69" w14:paraId="4C32C025" w14:textId="77777777" w:rsidTr="00067C69">
        <w:tc>
          <w:tcPr>
            <w:tcW w:w="0" w:type="auto"/>
            <w:shd w:val="clear" w:color="auto" w:fill="auto"/>
            <w:vAlign w:val="center"/>
            <w:hideMark/>
          </w:tcPr>
          <w:p w14:paraId="4720E3F3" w14:textId="77777777" w:rsidR="00067C69" w:rsidRPr="00067C69" w:rsidRDefault="00067C69" w:rsidP="00067C69">
            <w:r w:rsidRPr="00067C69">
              <w:t>Zinco (Zn) solubile in acqua:</w:t>
            </w:r>
          </w:p>
        </w:tc>
        <w:tc>
          <w:tcPr>
            <w:tcW w:w="0" w:type="auto"/>
            <w:shd w:val="clear" w:color="auto" w:fill="auto"/>
            <w:vAlign w:val="center"/>
            <w:hideMark/>
          </w:tcPr>
          <w:p w14:paraId="53D5CD53" w14:textId="77777777" w:rsidR="00067C69" w:rsidRPr="00067C69" w:rsidRDefault="00067C69" w:rsidP="00067C69">
            <w:r w:rsidRPr="00067C69">
              <w:t>0.020 % </w:t>
            </w:r>
          </w:p>
        </w:tc>
      </w:tr>
      <w:tr w:rsidR="00067C69" w:rsidRPr="00067C69" w14:paraId="1D8792DC" w14:textId="77777777" w:rsidTr="00067C69">
        <w:tc>
          <w:tcPr>
            <w:tcW w:w="0" w:type="auto"/>
            <w:shd w:val="clear" w:color="auto" w:fill="auto"/>
            <w:vAlign w:val="center"/>
            <w:hideMark/>
          </w:tcPr>
          <w:p w14:paraId="520220DC" w14:textId="77777777" w:rsidR="00067C69" w:rsidRPr="00067C69" w:rsidRDefault="00067C69" w:rsidP="00067C69">
            <w:r w:rsidRPr="00067C69">
              <w:t xml:space="preserve">Estratto di Ascophyllum nodosum </w:t>
            </w:r>
          </w:p>
        </w:tc>
        <w:tc>
          <w:tcPr>
            <w:tcW w:w="0" w:type="auto"/>
            <w:shd w:val="clear" w:color="auto" w:fill="auto"/>
            <w:vAlign w:val="center"/>
            <w:hideMark/>
          </w:tcPr>
          <w:p w14:paraId="36B37476" w14:textId="77777777" w:rsidR="00067C69" w:rsidRPr="00067C69" w:rsidRDefault="00067C69" w:rsidP="00067C69">
            <w:r w:rsidRPr="00067C69">
              <w:t>3%</w:t>
            </w:r>
          </w:p>
        </w:tc>
      </w:tr>
    </w:tbl>
    <w:p w14:paraId="7519BA0A" w14:textId="77777777" w:rsidR="00067C69" w:rsidRPr="00067C69" w:rsidRDefault="00067C69" w:rsidP="00067C69">
      <w:r w:rsidRPr="00067C69">
        <w:t>Fertilizzante adatto al giardinaggio domestico.</w:t>
      </w:r>
    </w:p>
    <w:p w14:paraId="770313B5" w14:textId="77777777" w:rsidR="00067C69" w:rsidRPr="00067C69" w:rsidRDefault="00067C69" w:rsidP="00067C69">
      <w:pPr>
        <w:rPr>
          <w:vanish/>
        </w:rPr>
      </w:pPr>
      <w:r w:rsidRPr="00067C69">
        <w:rPr>
          <w:vanish/>
        </w:rPr>
        <w:t>Principio del formulario</w:t>
      </w:r>
    </w:p>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67C69"/>
    <w:rsid w:val="00210AEB"/>
    <w:rsid w:val="00485BFB"/>
    <w:rsid w:val="00E61204"/>
    <w:rsid w:val="00F606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698046744">
      <w:bodyDiv w:val="1"/>
      <w:marLeft w:val="0"/>
      <w:marRight w:val="0"/>
      <w:marTop w:val="0"/>
      <w:marBottom w:val="0"/>
      <w:divBdr>
        <w:top w:val="none" w:sz="0" w:space="0" w:color="auto"/>
        <w:left w:val="none" w:sz="0" w:space="0" w:color="auto"/>
        <w:bottom w:val="none" w:sz="0" w:space="0" w:color="auto"/>
        <w:right w:val="none" w:sz="0" w:space="0" w:color="auto"/>
      </w:divBdr>
      <w:divsChild>
        <w:div w:id="501822290">
          <w:marLeft w:val="0"/>
          <w:marRight w:val="0"/>
          <w:marTop w:val="900"/>
          <w:marBottom w:val="1110"/>
          <w:divBdr>
            <w:top w:val="none" w:sz="0" w:space="0" w:color="auto"/>
            <w:left w:val="none" w:sz="0" w:space="0" w:color="auto"/>
            <w:bottom w:val="none" w:sz="0" w:space="0" w:color="auto"/>
            <w:right w:val="none" w:sz="0" w:space="0" w:color="auto"/>
          </w:divBdr>
          <w:divsChild>
            <w:div w:id="1928466631">
              <w:marLeft w:val="0"/>
              <w:marRight w:val="0"/>
              <w:marTop w:val="0"/>
              <w:marBottom w:val="0"/>
              <w:divBdr>
                <w:top w:val="none" w:sz="0" w:space="0" w:color="auto"/>
                <w:left w:val="none" w:sz="0" w:space="0" w:color="auto"/>
                <w:bottom w:val="none" w:sz="0" w:space="0" w:color="auto"/>
                <w:right w:val="none" w:sz="0" w:space="0" w:color="auto"/>
              </w:divBdr>
              <w:divsChild>
                <w:div w:id="572669375">
                  <w:marLeft w:val="0"/>
                  <w:marRight w:val="0"/>
                  <w:marTop w:val="0"/>
                  <w:marBottom w:val="0"/>
                  <w:divBdr>
                    <w:top w:val="none" w:sz="0" w:space="0" w:color="auto"/>
                    <w:left w:val="single" w:sz="6" w:space="30" w:color="F1F1F1"/>
                    <w:bottom w:val="single" w:sz="6" w:space="13" w:color="F1F1F1"/>
                    <w:right w:val="single" w:sz="6" w:space="19" w:color="F1F1F1"/>
                  </w:divBdr>
                  <w:divsChild>
                    <w:div w:id="15926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842">
          <w:marLeft w:val="0"/>
          <w:marRight w:val="0"/>
          <w:marTop w:val="0"/>
          <w:marBottom w:val="0"/>
          <w:divBdr>
            <w:top w:val="none" w:sz="0" w:space="0" w:color="auto"/>
            <w:left w:val="none" w:sz="0" w:space="0" w:color="auto"/>
            <w:bottom w:val="none" w:sz="0" w:space="0" w:color="auto"/>
            <w:right w:val="none" w:sz="0" w:space="0" w:color="auto"/>
          </w:divBdr>
        </w:div>
      </w:divsChild>
    </w:div>
    <w:div w:id="88961255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128359964">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587038953">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213007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it/fertilizzanti-solidi/30-microvita.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opcropfert.com/shop/it/fertilizzanti-liquidi/23-deeper-underground.html" TargetMode="External"/><Relationship Id="rId12" Type="http://schemas.openxmlformats.org/officeDocument/2006/relationships/hyperlink" Target="https://topcropfert.com/shop/it/fertilizzanti-liquidi/13-top-bud.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opcropfert.com/shop/it/fertilizzanti-solidi/30-microvita.html" TargetMode="External"/><Relationship Id="rId11" Type="http://schemas.openxmlformats.org/officeDocument/2006/relationships/hyperlink" Target="https://topcropfert.com/shop/it/fertilizzanti-liquidi/51-top-candy.html" TargetMode="External"/><Relationship Id="rId5" Type="http://schemas.openxmlformats.org/officeDocument/2006/relationships/hyperlink" Target="https://topcropfert.com/shop/it/fertilizzanti-liquidi/51-top-candy.html" TargetMode="External"/><Relationship Id="rId10" Type="http://schemas.openxmlformats.org/officeDocument/2006/relationships/hyperlink" Target="https://topcropfert.com/shop/it/fertilizzanti-solidi/30-microvita.html" TargetMode="External"/><Relationship Id="rId4" Type="http://schemas.openxmlformats.org/officeDocument/2006/relationships/hyperlink" Target="https://topcropfert.com/shop/it/fertilizzanti-solidi/30-microvita.html" TargetMode="External"/><Relationship Id="rId9" Type="http://schemas.openxmlformats.org/officeDocument/2006/relationships/hyperlink" Target="https://topcropfert.com/shop/it/fertilizzanti-liquidi/8-big-on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829</Words>
  <Characters>4562</Characters>
  <Application>Microsoft Office Word</Application>
  <DocSecurity>0</DocSecurity>
  <Lines>38</Lines>
  <Paragraphs>10</Paragraphs>
  <ScaleCrop>false</ScaleCrop>
  <Company/>
  <LinksUpToDate>false</LinksUpToDate>
  <CharactersWithSpaces>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6</cp:revision>
  <dcterms:created xsi:type="dcterms:W3CDTF">2022-11-07T15:25:00Z</dcterms:created>
  <dcterms:modified xsi:type="dcterms:W3CDTF">2022-11-23T12:01:00Z</dcterms:modified>
</cp:coreProperties>
</file>