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18EBD177" w:rsidR="00026EEA" w:rsidRPr="00026EEA" w:rsidRDefault="00026EEA" w:rsidP="00026EEA">
      <w:r>
        <w:rPr>
          <w:b/>
          <w:bCs/>
        </w:rPr>
        <w:t>DESCRI</w:t>
      </w:r>
      <w:r w:rsidR="00F606A6">
        <w:rPr>
          <w:b/>
          <w:bCs/>
        </w:rPr>
        <w:t>ZIONE</w:t>
      </w:r>
    </w:p>
    <w:p w14:paraId="662CBFFE" w14:textId="77777777" w:rsidR="00EF7CB3" w:rsidRPr="00EF7CB3" w:rsidRDefault="00EF7CB3" w:rsidP="00EF7CB3">
      <w:r w:rsidRPr="00EF7CB3">
        <w:rPr>
          <w:b/>
          <w:bCs/>
        </w:rPr>
        <w:t>Complete Mix</w:t>
      </w:r>
      <w:r w:rsidRPr="00EF7CB3">
        <w:t> di </w:t>
      </w:r>
      <w:r w:rsidRPr="00EF7CB3">
        <w:rPr>
          <w:b/>
          <w:bCs/>
        </w:rPr>
        <w:t>Top Crop</w:t>
      </w:r>
      <w:r w:rsidRPr="00EF7CB3">
        <w:t> è un substrato di alta qualità che fornisce ottimi risultati per la fase vegetativa della pianta, facilitando lo sviluppo ottimale delle radici.</w:t>
      </w:r>
    </w:p>
    <w:p w14:paraId="5DCE6CF5" w14:textId="77777777" w:rsidR="00EF7CB3" w:rsidRPr="00EF7CB3" w:rsidRDefault="00EF7CB3" w:rsidP="00EF7CB3">
      <w:r w:rsidRPr="00EF7CB3">
        <w:t xml:space="preserve">Complete Mix vanta uno dei substrati più soffici del mercato grazie alla sua composizione, molto ricca di fibra di cocco. Inoltre, contiene humus di lombrico, ideale per la crescita di radici forti e </w:t>
      </w:r>
      <w:proofErr w:type="gramStart"/>
      <w:r w:rsidRPr="00EF7CB3">
        <w:t>sane</w:t>
      </w:r>
      <w:proofErr w:type="gramEnd"/>
      <w:r w:rsidRPr="00EF7CB3">
        <w:t>.</w:t>
      </w:r>
    </w:p>
    <w:p w14:paraId="5336CC3E" w14:textId="77777777" w:rsidR="00EF7CB3" w:rsidRPr="00EF7CB3" w:rsidRDefault="00EF7CB3" w:rsidP="00EF7CB3">
      <w:r w:rsidRPr="00EF7CB3">
        <w:t xml:space="preserve">Grazie alla sua speciale composizione, eviterete l'uso di fertilizzanti nelle </w:t>
      </w:r>
      <w:proofErr w:type="gramStart"/>
      <w:r w:rsidRPr="00EF7CB3">
        <w:t>prime</w:t>
      </w:r>
      <w:proofErr w:type="gramEnd"/>
      <w:r w:rsidRPr="00EF7CB3">
        <w:t xml:space="preserve"> tre settimane di vita della pianta.</w:t>
      </w:r>
    </w:p>
    <w:p w14:paraId="78464D2C" w14:textId="77777777" w:rsidR="00EF7CB3" w:rsidRPr="00EF7CB3" w:rsidRDefault="00EF7CB3" w:rsidP="00EF7CB3">
      <w:r w:rsidRPr="00EF7CB3">
        <w:t>Complete Mix è un substrato con una buona aerazione e una media ritenzione di umidità, ideale per climi temperati (non troppo freddi e non troppo caldi) e per la coltivazione indoor. Inoltre, la ritenzione idrica è duratura e contribuisce ad accelerare lo sviluppo delle piante rispetto ad altri substrati.</w:t>
      </w:r>
    </w:p>
    <w:p w14:paraId="3C0B8B58" w14:textId="77777777" w:rsidR="00EF7CB3" w:rsidRPr="00EF7CB3" w:rsidRDefault="00EF7CB3" w:rsidP="00EF7CB3">
      <w:r w:rsidRPr="00EF7CB3">
        <w:t>È possibile aggiungere al Complete Mix altri substrati come </w:t>
      </w:r>
      <w:hyperlink r:id="rId4" w:history="1">
        <w:r w:rsidRPr="00EF7CB3">
          <w:rPr>
            <w:rStyle w:val="Hipervnculo"/>
          </w:rPr>
          <w:t>Nitroguano</w:t>
        </w:r>
      </w:hyperlink>
      <w:r w:rsidRPr="00EF7CB3">
        <w:t>, </w:t>
      </w:r>
      <w:hyperlink r:id="rId5" w:history="1">
        <w:r w:rsidRPr="00EF7CB3">
          <w:rPr>
            <w:rStyle w:val="Hipervnculo"/>
          </w:rPr>
          <w:t>Superguano</w:t>
        </w:r>
      </w:hyperlink>
      <w:r w:rsidRPr="00EF7CB3">
        <w:t> e </w:t>
      </w:r>
      <w:hyperlink r:id="rId6" w:history="1">
        <w:r w:rsidRPr="00EF7CB3">
          <w:rPr>
            <w:rStyle w:val="Hipervnculo"/>
          </w:rPr>
          <w:t>Top Vulcan</w:t>
        </w:r>
      </w:hyperlink>
      <w:r w:rsidRPr="00EF7CB3">
        <w:t>.</w:t>
      </w:r>
    </w:p>
    <w:p w14:paraId="21ED7A46" w14:textId="77777777" w:rsidR="00EF7CB3" w:rsidRPr="00EF7CB3" w:rsidRDefault="00EF7CB3" w:rsidP="00EF7CB3">
      <w:r w:rsidRPr="00EF7CB3">
        <w:t>Se volete saperne di più su tutti i prodotti Top Crop, non dimenticate di dare un'occhiata al nostro </w:t>
      </w:r>
      <w:hyperlink r:id="rId7" w:history="1">
        <w:r w:rsidRPr="00EF7CB3">
          <w:rPr>
            <w:rStyle w:val="Hipervnculo"/>
          </w:rPr>
          <w:t>canale YouTube</w:t>
        </w:r>
      </w:hyperlink>
      <w:r w:rsidRPr="00EF7CB3">
        <w:t>.</w:t>
      </w:r>
    </w:p>
    <w:p w14:paraId="2E7897F6" w14:textId="77777777" w:rsidR="00EF7CB3" w:rsidRPr="00EF7CB3" w:rsidRDefault="00EF7CB3" w:rsidP="00EF7CB3">
      <w:r w:rsidRPr="00EF7CB3">
        <w:rPr>
          <w:b/>
          <w:bCs/>
        </w:rPr>
        <w:t>FORMATI</w:t>
      </w:r>
    </w:p>
    <w:p w14:paraId="4B1926AE" w14:textId="06DD2207" w:rsidR="00EF7CB3" w:rsidRPr="00EF7CB3" w:rsidRDefault="00EF7CB3">
      <w:r w:rsidRPr="00EF7CB3">
        <w:t>Nel vostro growshop troverete Complete Mix nel formato da 50 litri e potrete anche scegliere </w:t>
      </w:r>
      <w:r w:rsidRPr="00EF7CB3">
        <w:rPr>
          <w:b/>
          <w:bCs/>
        </w:rPr>
        <w:t>l'opzione discreta</w:t>
      </w:r>
      <w:r w:rsidRPr="00EF7CB3">
        <w:t> (la confezione è bianca) di questo substrato.</w:t>
      </w:r>
    </w:p>
    <w:p w14:paraId="7ADA2D43" w14:textId="445D51D5" w:rsidR="00E61204" w:rsidRDefault="00026EEA">
      <w:r>
        <w:rPr>
          <w:b/>
          <w:bCs/>
        </w:rPr>
        <w:t>COMPOSI</w:t>
      </w:r>
      <w:r w:rsidR="00F606A6">
        <w:rPr>
          <w:b/>
          <w:bCs/>
        </w:rPr>
        <w:t>ZIONE</w:t>
      </w:r>
    </w:p>
    <w:tbl>
      <w:tblPr>
        <w:tblW w:w="5610" w:type="dxa"/>
        <w:shd w:val="clear" w:color="auto" w:fill="FFFFFF"/>
        <w:tblCellMar>
          <w:top w:w="15" w:type="dxa"/>
          <w:left w:w="15" w:type="dxa"/>
          <w:bottom w:w="15" w:type="dxa"/>
          <w:right w:w="15" w:type="dxa"/>
        </w:tblCellMar>
        <w:tblLook w:val="04A0" w:firstRow="1" w:lastRow="0" w:firstColumn="1" w:lastColumn="0" w:noHBand="0" w:noVBand="1"/>
      </w:tblPr>
      <w:tblGrid>
        <w:gridCol w:w="4843"/>
        <w:gridCol w:w="767"/>
      </w:tblGrid>
      <w:tr w:rsidR="00F606A6" w:rsidRPr="00F606A6" w14:paraId="38812D72" w14:textId="77777777" w:rsidTr="00F606A6">
        <w:tc>
          <w:tcPr>
            <w:tcW w:w="0" w:type="auto"/>
            <w:shd w:val="clear" w:color="auto" w:fill="FFFFFF"/>
            <w:vAlign w:val="center"/>
            <w:hideMark/>
          </w:tcPr>
          <w:p w14:paraId="0780FE22" w14:textId="77777777" w:rsidR="00F606A6" w:rsidRPr="00F606A6" w:rsidRDefault="00F606A6" w:rsidP="00F606A6">
            <w:r w:rsidRPr="00F606A6">
              <w:t>Componente</w:t>
            </w:r>
          </w:p>
        </w:tc>
        <w:tc>
          <w:tcPr>
            <w:tcW w:w="0" w:type="auto"/>
            <w:shd w:val="clear" w:color="auto" w:fill="FFFFFF"/>
            <w:vAlign w:val="center"/>
            <w:hideMark/>
          </w:tcPr>
          <w:p w14:paraId="7AA21EB6" w14:textId="77777777" w:rsidR="00F606A6" w:rsidRPr="00F606A6" w:rsidRDefault="00F606A6" w:rsidP="00F606A6">
            <w:r w:rsidRPr="00F606A6">
              <w:t>%</w:t>
            </w:r>
          </w:p>
        </w:tc>
      </w:tr>
      <w:tr w:rsidR="00F606A6" w:rsidRPr="00F606A6" w14:paraId="48EEB006" w14:textId="77777777" w:rsidTr="00F606A6">
        <w:tc>
          <w:tcPr>
            <w:tcW w:w="0" w:type="auto"/>
            <w:shd w:val="clear" w:color="auto" w:fill="FFFFFF"/>
            <w:vAlign w:val="center"/>
            <w:hideMark/>
          </w:tcPr>
          <w:p w14:paraId="4EB935AC" w14:textId="77777777" w:rsidR="00F606A6" w:rsidRPr="00F606A6" w:rsidRDefault="00F606A6" w:rsidP="00F606A6">
            <w:r w:rsidRPr="00F606A6">
              <w:t>Fibra di cocco, torba di sfagno (H2-H4) -Rubia e compost di verdure, con:</w:t>
            </w:r>
          </w:p>
        </w:tc>
        <w:tc>
          <w:tcPr>
            <w:tcW w:w="0" w:type="auto"/>
            <w:shd w:val="clear" w:color="auto" w:fill="FFFFFF"/>
            <w:vAlign w:val="center"/>
            <w:hideMark/>
          </w:tcPr>
          <w:p w14:paraId="324CD75C" w14:textId="77777777" w:rsidR="00F606A6" w:rsidRPr="00F606A6" w:rsidRDefault="00F606A6" w:rsidP="00F606A6"/>
        </w:tc>
      </w:tr>
      <w:tr w:rsidR="00F606A6" w:rsidRPr="00F606A6" w14:paraId="4A10C462" w14:textId="77777777" w:rsidTr="00F606A6">
        <w:tc>
          <w:tcPr>
            <w:tcW w:w="0" w:type="auto"/>
            <w:shd w:val="clear" w:color="auto" w:fill="FFFFFF"/>
            <w:vAlign w:val="center"/>
            <w:hideMark/>
          </w:tcPr>
          <w:p w14:paraId="07E3BA96" w14:textId="77777777" w:rsidR="00F606A6" w:rsidRPr="00F606A6" w:rsidRDefault="00F606A6" w:rsidP="00F606A6">
            <w:r w:rsidRPr="00F606A6">
              <w:t>Perlite</w:t>
            </w:r>
          </w:p>
        </w:tc>
        <w:tc>
          <w:tcPr>
            <w:tcW w:w="0" w:type="auto"/>
            <w:shd w:val="clear" w:color="auto" w:fill="FFFFFF"/>
            <w:vAlign w:val="center"/>
            <w:hideMark/>
          </w:tcPr>
          <w:p w14:paraId="4679CF41" w14:textId="77777777" w:rsidR="00F606A6" w:rsidRPr="00F606A6" w:rsidRDefault="00F606A6" w:rsidP="00F606A6">
            <w:r w:rsidRPr="00F606A6">
              <w:t>(5 g/l)</w:t>
            </w:r>
          </w:p>
        </w:tc>
      </w:tr>
      <w:tr w:rsidR="00F606A6" w:rsidRPr="00F606A6" w14:paraId="29226F72" w14:textId="77777777" w:rsidTr="00F606A6">
        <w:tc>
          <w:tcPr>
            <w:tcW w:w="0" w:type="auto"/>
            <w:shd w:val="clear" w:color="auto" w:fill="FFFFFF"/>
            <w:vAlign w:val="center"/>
            <w:hideMark/>
          </w:tcPr>
          <w:p w14:paraId="004AC04B" w14:textId="77777777" w:rsidR="00F606A6" w:rsidRPr="00F606A6" w:rsidRDefault="00F606A6" w:rsidP="00F606A6">
            <w:r w:rsidRPr="00F606A6">
              <w:t>Solido mix di macro e micronutrienti</w:t>
            </w:r>
          </w:p>
        </w:tc>
        <w:tc>
          <w:tcPr>
            <w:tcW w:w="0" w:type="auto"/>
            <w:shd w:val="clear" w:color="auto" w:fill="FFFFFF"/>
            <w:vAlign w:val="center"/>
            <w:hideMark/>
          </w:tcPr>
          <w:p w14:paraId="4EBFA4CF" w14:textId="77777777" w:rsidR="00F606A6" w:rsidRPr="00F606A6" w:rsidRDefault="00F606A6" w:rsidP="00F606A6">
            <w:r w:rsidRPr="00F606A6">
              <w:t>(3 g/l)</w:t>
            </w:r>
          </w:p>
        </w:tc>
      </w:tr>
      <w:tr w:rsidR="00F606A6" w:rsidRPr="00F606A6" w14:paraId="6D77AC11" w14:textId="77777777" w:rsidTr="00F606A6">
        <w:tc>
          <w:tcPr>
            <w:tcW w:w="0" w:type="auto"/>
            <w:shd w:val="clear" w:color="auto" w:fill="FFFFFF"/>
            <w:vAlign w:val="center"/>
            <w:hideMark/>
          </w:tcPr>
          <w:p w14:paraId="291A2CE6" w14:textId="77777777" w:rsidR="00F606A6" w:rsidRPr="00F606A6" w:rsidRDefault="00F606A6" w:rsidP="00F606A6">
            <w:r w:rsidRPr="00F606A6">
              <w:t>Leonardite</w:t>
            </w:r>
          </w:p>
        </w:tc>
        <w:tc>
          <w:tcPr>
            <w:tcW w:w="0" w:type="auto"/>
            <w:shd w:val="clear" w:color="auto" w:fill="FFFFFF"/>
            <w:vAlign w:val="center"/>
            <w:hideMark/>
          </w:tcPr>
          <w:p w14:paraId="6C394E24" w14:textId="77777777" w:rsidR="00F606A6" w:rsidRPr="00F606A6" w:rsidRDefault="00F606A6" w:rsidP="00F606A6">
            <w:r w:rsidRPr="00F606A6">
              <w:t>(2 g/l)</w:t>
            </w:r>
          </w:p>
        </w:tc>
      </w:tr>
      <w:tr w:rsidR="00F606A6" w:rsidRPr="00F606A6" w14:paraId="22AB6AB8" w14:textId="77777777" w:rsidTr="00F606A6">
        <w:tc>
          <w:tcPr>
            <w:tcW w:w="0" w:type="auto"/>
            <w:shd w:val="clear" w:color="auto" w:fill="FFFFFF"/>
            <w:vAlign w:val="center"/>
            <w:hideMark/>
          </w:tcPr>
          <w:p w14:paraId="23110515" w14:textId="77777777" w:rsidR="00F606A6" w:rsidRPr="00F606A6" w:rsidRDefault="00F606A6" w:rsidP="00F606A6">
            <w:r w:rsidRPr="00F606A6">
              <w:t>Sostanza organica sulla sostanza secca</w:t>
            </w:r>
          </w:p>
        </w:tc>
        <w:tc>
          <w:tcPr>
            <w:tcW w:w="0" w:type="auto"/>
            <w:shd w:val="clear" w:color="auto" w:fill="FFFFFF"/>
            <w:vAlign w:val="center"/>
            <w:hideMark/>
          </w:tcPr>
          <w:p w14:paraId="5EFCC8AC" w14:textId="77777777" w:rsidR="00F606A6" w:rsidRPr="00F606A6" w:rsidRDefault="00F606A6" w:rsidP="00F606A6">
            <w:r w:rsidRPr="00F606A6">
              <w:t>76,2</w:t>
            </w:r>
          </w:p>
        </w:tc>
      </w:tr>
      <w:tr w:rsidR="00F606A6" w:rsidRPr="00F606A6" w14:paraId="3E434A4B" w14:textId="77777777" w:rsidTr="00F606A6">
        <w:tc>
          <w:tcPr>
            <w:tcW w:w="0" w:type="auto"/>
            <w:shd w:val="clear" w:color="auto" w:fill="FFFFFF"/>
            <w:vAlign w:val="center"/>
            <w:hideMark/>
          </w:tcPr>
          <w:p w14:paraId="2529CE77" w14:textId="77777777" w:rsidR="00F606A6" w:rsidRPr="00F606A6" w:rsidRDefault="00F606A6" w:rsidP="00F606A6">
            <w:r w:rsidRPr="00F606A6">
              <w:t>Conduttività elettrica in acqua</w:t>
            </w:r>
          </w:p>
        </w:tc>
        <w:tc>
          <w:tcPr>
            <w:tcW w:w="0" w:type="auto"/>
            <w:shd w:val="clear" w:color="auto" w:fill="FFFFFF"/>
            <w:vAlign w:val="center"/>
            <w:hideMark/>
          </w:tcPr>
          <w:p w14:paraId="4FE278DB" w14:textId="77777777" w:rsidR="00F606A6" w:rsidRPr="00F606A6" w:rsidRDefault="00F606A6" w:rsidP="00F606A6">
            <w:r w:rsidRPr="00F606A6">
              <w:t>(1: 5 V/V)</w:t>
            </w:r>
          </w:p>
        </w:tc>
      </w:tr>
      <w:tr w:rsidR="00F606A6" w:rsidRPr="00F606A6" w14:paraId="1EA40F40" w14:textId="77777777" w:rsidTr="00F606A6">
        <w:tc>
          <w:tcPr>
            <w:tcW w:w="0" w:type="auto"/>
            <w:shd w:val="clear" w:color="auto" w:fill="FFFFFF"/>
            <w:vAlign w:val="center"/>
            <w:hideMark/>
          </w:tcPr>
          <w:p w14:paraId="3685E5D4" w14:textId="77777777" w:rsidR="00F606A6" w:rsidRPr="00F606A6" w:rsidRDefault="00F606A6" w:rsidP="00F606A6">
            <w:r w:rsidRPr="00F606A6">
              <w:t>CE: 520 µS/cm (25 °C).</w:t>
            </w:r>
          </w:p>
        </w:tc>
        <w:tc>
          <w:tcPr>
            <w:tcW w:w="0" w:type="auto"/>
            <w:shd w:val="clear" w:color="auto" w:fill="FFFFFF"/>
            <w:vAlign w:val="center"/>
            <w:hideMark/>
          </w:tcPr>
          <w:p w14:paraId="49CED3E7" w14:textId="77777777" w:rsidR="00F606A6" w:rsidRPr="00F606A6" w:rsidRDefault="00F606A6" w:rsidP="00F606A6"/>
        </w:tc>
      </w:tr>
      <w:tr w:rsidR="00F606A6" w:rsidRPr="00F606A6" w14:paraId="6E9A8B6A" w14:textId="77777777" w:rsidTr="00F606A6">
        <w:tc>
          <w:tcPr>
            <w:tcW w:w="0" w:type="auto"/>
            <w:shd w:val="clear" w:color="auto" w:fill="FFFFFF"/>
            <w:vAlign w:val="center"/>
            <w:hideMark/>
          </w:tcPr>
          <w:p w14:paraId="16E9C4EC" w14:textId="77777777" w:rsidR="00F606A6" w:rsidRPr="00F606A6" w:rsidRDefault="00F606A6" w:rsidP="00F606A6">
            <w:r w:rsidRPr="00F606A6">
              <w:t>[(1: 1,5 V/V) CE: 1000 µS/cm]</w:t>
            </w:r>
          </w:p>
        </w:tc>
        <w:tc>
          <w:tcPr>
            <w:tcW w:w="0" w:type="auto"/>
            <w:shd w:val="clear" w:color="auto" w:fill="FFFFFF"/>
            <w:vAlign w:val="center"/>
            <w:hideMark/>
          </w:tcPr>
          <w:p w14:paraId="21344DD4" w14:textId="77777777" w:rsidR="00F606A6" w:rsidRPr="00F606A6" w:rsidRDefault="00F606A6" w:rsidP="00F606A6"/>
        </w:tc>
      </w:tr>
      <w:tr w:rsidR="00F606A6" w:rsidRPr="00F606A6" w14:paraId="0FDA4939" w14:textId="77777777" w:rsidTr="00F606A6">
        <w:tc>
          <w:tcPr>
            <w:tcW w:w="0" w:type="auto"/>
            <w:shd w:val="clear" w:color="auto" w:fill="FFFFFF"/>
            <w:vAlign w:val="center"/>
            <w:hideMark/>
          </w:tcPr>
          <w:p w14:paraId="39E353B3" w14:textId="77777777" w:rsidR="00F606A6" w:rsidRPr="00F606A6" w:rsidRDefault="00F606A6" w:rsidP="00F606A6">
            <w:r w:rsidRPr="00F606A6">
              <w:t>Densità apparente secca:</w:t>
            </w:r>
          </w:p>
        </w:tc>
        <w:tc>
          <w:tcPr>
            <w:tcW w:w="0" w:type="auto"/>
            <w:shd w:val="clear" w:color="auto" w:fill="FFFFFF"/>
            <w:vAlign w:val="center"/>
            <w:hideMark/>
          </w:tcPr>
          <w:p w14:paraId="610ECCF9" w14:textId="77777777" w:rsidR="00F606A6" w:rsidRPr="00F606A6" w:rsidRDefault="00F606A6" w:rsidP="00F606A6">
            <w:r w:rsidRPr="00F606A6">
              <w:t>135,3 g/L</w:t>
            </w:r>
          </w:p>
        </w:tc>
      </w:tr>
      <w:tr w:rsidR="00F606A6" w:rsidRPr="00F606A6" w14:paraId="2DA032FE" w14:textId="77777777" w:rsidTr="00F606A6">
        <w:tc>
          <w:tcPr>
            <w:tcW w:w="0" w:type="auto"/>
            <w:shd w:val="clear" w:color="auto" w:fill="FFFFFF"/>
            <w:vAlign w:val="center"/>
            <w:hideMark/>
          </w:tcPr>
          <w:p w14:paraId="4437BE3D" w14:textId="77777777" w:rsidR="00F606A6" w:rsidRPr="00F606A6" w:rsidRDefault="00F606A6" w:rsidP="00F606A6">
            <w:r w:rsidRPr="00F606A6">
              <w:t>pH in acqua (1/5 V/V):</w:t>
            </w:r>
          </w:p>
        </w:tc>
        <w:tc>
          <w:tcPr>
            <w:tcW w:w="0" w:type="auto"/>
            <w:shd w:val="clear" w:color="auto" w:fill="FFFFFF"/>
            <w:vAlign w:val="center"/>
            <w:hideMark/>
          </w:tcPr>
          <w:p w14:paraId="2989FC49" w14:textId="77777777" w:rsidR="00F606A6" w:rsidRPr="00F606A6" w:rsidRDefault="00F606A6" w:rsidP="00F606A6">
            <w:r w:rsidRPr="00F606A6">
              <w:t>6.5</w:t>
            </w:r>
          </w:p>
        </w:tc>
      </w:tr>
    </w:tbl>
    <w:p w14:paraId="548B109E" w14:textId="77777777" w:rsidR="00026EEA" w:rsidRDefault="00026EEA"/>
    <w:sectPr w:rsidR="00026E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E61204"/>
    <w:rsid w:val="00EF7CB3"/>
    <w:rsid w:val="00F606A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823862963">
      <w:bodyDiv w:val="1"/>
      <w:marLeft w:val="0"/>
      <w:marRight w:val="0"/>
      <w:marTop w:val="0"/>
      <w:marBottom w:val="0"/>
      <w:divBdr>
        <w:top w:val="none" w:sz="0" w:space="0" w:color="auto"/>
        <w:left w:val="none" w:sz="0" w:space="0" w:color="auto"/>
        <w:bottom w:val="none" w:sz="0" w:space="0" w:color="auto"/>
        <w:right w:val="none" w:sz="0" w:space="0" w:color="auto"/>
      </w:divBdr>
    </w:div>
    <w:div w:id="889612555">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128359964">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youtube.com/channel/UCI6jiodEhSPt3Wqf1VEnXJQ"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opcropfert.com/shop/it/fertilizzanti-solidi/57-top-vulcan.html" TargetMode="External"/><Relationship Id="rId5" Type="http://schemas.openxmlformats.org/officeDocument/2006/relationships/hyperlink" Target="https://topcropfert.com/shop/it/fertilizzanti-solidi/44-superguano.html" TargetMode="External"/><Relationship Id="rId4" Type="http://schemas.openxmlformats.org/officeDocument/2006/relationships/hyperlink" Target="https://topcropfert.com/shop/it/fertilizzanti-solidi/33-nitroguano.htm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296</Words>
  <Characters>1633</Characters>
  <Application>Microsoft Office Word</Application>
  <DocSecurity>0</DocSecurity>
  <Lines>13</Lines>
  <Paragraphs>3</Paragraphs>
  <ScaleCrop>false</ScaleCrop>
  <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4</cp:revision>
  <dcterms:created xsi:type="dcterms:W3CDTF">2022-11-07T15:25:00Z</dcterms:created>
  <dcterms:modified xsi:type="dcterms:W3CDTF">2022-11-23T12:15:00Z</dcterms:modified>
</cp:coreProperties>
</file>