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04577A58" w14:textId="77777777" w:rsidR="007D3743" w:rsidRPr="007D3743" w:rsidRDefault="007D3743" w:rsidP="007D3743">
      <w:r w:rsidRPr="007D3743">
        <w:rPr>
          <w:b/>
          <w:bCs/>
        </w:rPr>
        <w:t>Top Tabs</w:t>
      </w:r>
      <w:r w:rsidRPr="007D3743">
        <w:t> de </w:t>
      </w:r>
      <w:r w:rsidRPr="007D3743">
        <w:rPr>
          <w:b/>
          <w:bCs/>
        </w:rPr>
        <w:t>Top Crop</w:t>
      </w:r>
      <w:r w:rsidRPr="007D3743">
        <w:t> son tabletas organo-minerales que se aplican en el sustrato liberando de forma paulatina los nutrientes durante todo el ciclo de la planta.</w:t>
      </w:r>
    </w:p>
    <w:p w14:paraId="2AFD2363" w14:textId="77777777" w:rsidR="007D3743" w:rsidRPr="007D3743" w:rsidRDefault="007D3743" w:rsidP="007D3743">
      <w:r w:rsidRPr="007D3743">
        <w:t>Su fórmula con fertilizantes básicos (NPK) y microelementos, está enriquecida con magnesio y extractos de algas y garantiza el aporte de nutrientes básicos en las fases de crecimiento y floración gracias a su liberación lenta. Olvídate de estar pendiente de qué fertilizantes usar o qué dosis es la más adecuada. Top Tabs te lo pone muy fácil, ahorrando tiempo y dinero. Solamente necesitas una tableta de Top Tabs por cada 3-4 litros de sustrato.</w:t>
      </w:r>
    </w:p>
    <w:p w14:paraId="4C436741" w14:textId="77777777" w:rsidR="007D3743" w:rsidRPr="007D3743" w:rsidRDefault="007D3743" w:rsidP="007D3743">
      <w:r w:rsidRPr="007D3743">
        <w:t>Con las tabletas Top Tabs de Top Crop obtendrás resultados más que satisfactorios, tanto en cultivos de interior como de exterior. Aptas para cultivos en tierra, en fibra de coco o cultivos directos en suelo, simplificando el trabajo a los que practican cultivos de guerrilla.</w:t>
      </w:r>
    </w:p>
    <w:p w14:paraId="50DCFDBB" w14:textId="77777777" w:rsidR="007D3743" w:rsidRPr="007D3743" w:rsidRDefault="007D3743" w:rsidP="007D3743">
      <w:r w:rsidRPr="007D3743">
        <w:t>En caso de trasplantes, puedes añadir la pastilla al sustrato en el momento más oportuno. En cultivos desde semilla no aplicar antes de los 15 días desde la germinacón.</w:t>
      </w:r>
    </w:p>
    <w:p w14:paraId="48FED5F6" w14:textId="77777777" w:rsidR="007D3743" w:rsidRPr="007D3743" w:rsidRDefault="007D3743" w:rsidP="007D3743">
      <w:r w:rsidRPr="007D3743">
        <w:t>Apto para todo tipo de plantas ornamentales, árboles o arbustos frutales.</w:t>
      </w:r>
    </w:p>
    <w:p w14:paraId="73630ED6" w14:textId="77777777" w:rsidR="007D3743" w:rsidRPr="007D3743" w:rsidRDefault="007D3743" w:rsidP="007D3743">
      <w:r w:rsidRPr="007D3743">
        <w:rPr>
          <w:b/>
          <w:bCs/>
        </w:rPr>
        <w:t>CÓMO USAR TOP TABS DE TOP CROP</w:t>
      </w:r>
    </w:p>
    <w:p w14:paraId="3A3D2B18" w14:textId="77777777" w:rsidR="007D3743" w:rsidRPr="007D3743" w:rsidRDefault="007D3743" w:rsidP="007D3743">
      <w:r w:rsidRPr="007D3743">
        <w:t>Las tabletas Top Tabs de Top Crop son de fácil uso. Simplemente hay que aplicar una tableta por cada 3-4 litros de sustrato y hundirla entre 10-15 cm de profundidad lo más próximas a las paredes de la maceta y lo más separadas unas de otras.</w:t>
      </w:r>
    </w:p>
    <w:p w14:paraId="57AAFB3A" w14:textId="77777777" w:rsidR="007D3743" w:rsidRPr="007D3743" w:rsidRDefault="007D3743" w:rsidP="007D3743">
      <w:r w:rsidRPr="007D3743">
        <w:t>Las tabletas no deben tocar las raíces por lo que se recomienda situarlas a una distancia entre 5-15 cm del tallo. El agua del riego se encargará de liberar de forma controlada los nutrientes al sustrato.</w:t>
      </w:r>
    </w:p>
    <w:p w14:paraId="5574D329" w14:textId="77777777" w:rsidR="007D3743" w:rsidRPr="007D3743" w:rsidRDefault="007D3743" w:rsidP="007D3743">
      <w:r w:rsidRPr="007D3743">
        <w:t>En el caso que sean necesarias varias Top Tabs hay que distribuirlas bien para que no estén excesivamente juntas. Por último, humedeceremos el sustrato con agua.</w:t>
      </w:r>
    </w:p>
    <w:p w14:paraId="7DD5A5BB" w14:textId="77777777" w:rsidR="007D3743" w:rsidRPr="007D3743" w:rsidRDefault="007D3743" w:rsidP="007D3743">
      <w:r w:rsidRPr="007D3743">
        <w:t>Una vez la tableta es enterrada en el sustrato tan solo deberemos realizar los riegos pertinentes de agua el momento necesario. Los nutrientes de las tabletas Top Tabs serán liberados poco a poco después de cada riego. Por ello, asegúrate que el sustrato se conserve húmedo.</w:t>
      </w:r>
    </w:p>
    <w:p w14:paraId="0843EEF9" w14:textId="77777777" w:rsidR="007D3743" w:rsidRPr="007D3743" w:rsidRDefault="007D3743" w:rsidP="007D3743">
      <w:r w:rsidRPr="007D3743">
        <w:t>Las tabletas no están diseñadas para ser desmenuzadas ni disueltas en agua antes de su uso.</w:t>
      </w:r>
    </w:p>
    <w:p w14:paraId="313379A2" w14:textId="77777777" w:rsidR="007D3743" w:rsidRPr="007D3743" w:rsidRDefault="007D3743" w:rsidP="007D3743">
      <w:r w:rsidRPr="007D3743">
        <w:rPr>
          <w:b/>
          <w:bCs/>
        </w:rPr>
        <w:t>CÓMO COMBINAR TOP TABS CON OTROS PRODUCTOS TOP CROP</w:t>
      </w:r>
    </w:p>
    <w:p w14:paraId="1ECE1804" w14:textId="77777777" w:rsidR="007D3743" w:rsidRPr="007D3743" w:rsidRDefault="007D3743" w:rsidP="007D3743">
      <w:r w:rsidRPr="007D3743">
        <w:t>Top Tabs presentan una concentración alta y básica en nutrientes para que tu cultivo no sufra ninguna carencia. Para mayores resultados puedes combinar Top Tabs con otros productos Top Crop.</w:t>
      </w:r>
    </w:p>
    <w:p w14:paraId="637C14F6" w14:textId="77777777" w:rsidR="007D3743" w:rsidRPr="007D3743" w:rsidRDefault="007D3743" w:rsidP="007D3743">
      <w:r w:rsidRPr="007D3743">
        <w:t>En la preparación del sustrato puedes aplicar </w:t>
      </w:r>
      <w:hyperlink r:id="rId4" w:history="1">
        <w:r w:rsidRPr="007D3743">
          <w:rPr>
            <w:rStyle w:val="Hipervnculo"/>
          </w:rPr>
          <w:t>Micro Vita</w:t>
        </w:r>
      </w:hyperlink>
      <w:r w:rsidRPr="007D3743">
        <w:t> y </w:t>
      </w:r>
      <w:hyperlink r:id="rId5" w:history="1">
        <w:r w:rsidRPr="007D3743">
          <w:rPr>
            <w:rStyle w:val="Hipervnculo"/>
          </w:rPr>
          <w:t>Top Candy</w:t>
        </w:r>
      </w:hyperlink>
      <w:r w:rsidRPr="007D3743">
        <w:t> que ayudará a la proliferación de los microorganismos eficientes.</w:t>
      </w:r>
    </w:p>
    <w:p w14:paraId="2A3D1475" w14:textId="77777777" w:rsidR="007D3743" w:rsidRPr="007D3743" w:rsidRDefault="007D3743" w:rsidP="007D3743">
      <w:r w:rsidRPr="007D3743">
        <w:t>En fase de enraizamiento puedes añadir al sustrato </w:t>
      </w:r>
      <w:hyperlink r:id="rId6" w:history="1">
        <w:r w:rsidRPr="007D3743">
          <w:rPr>
            <w:rStyle w:val="Hipervnculo"/>
          </w:rPr>
          <w:t>Micro Vita</w:t>
        </w:r>
      </w:hyperlink>
      <w:r w:rsidRPr="007D3743">
        <w:t> y </w:t>
      </w:r>
      <w:hyperlink r:id="rId7" w:history="1">
        <w:r w:rsidRPr="007D3743">
          <w:rPr>
            <w:rStyle w:val="Hipervnculo"/>
          </w:rPr>
          <w:t>Deeper Underground</w:t>
        </w:r>
      </w:hyperlink>
      <w:r w:rsidRPr="007D3743">
        <w:t> en distintos riegos contribuyendo al desarrollo de un sistema radicular sano y fuerte. Esto adelantará la asimilación de los macronutrientes de Top Tabs por parte de la planta. Además, puedes apoyarte con el estimulador de crecimiento </w:t>
      </w:r>
      <w:hyperlink r:id="rId8" w:history="1">
        <w:r w:rsidRPr="007D3743">
          <w:rPr>
            <w:rStyle w:val="Hipervnculo"/>
          </w:rPr>
          <w:t>Green Explosion</w:t>
        </w:r>
      </w:hyperlink>
      <w:r w:rsidRPr="007D3743">
        <w:t> vía foliar a partir de la tercera semana de vida.</w:t>
      </w:r>
    </w:p>
    <w:p w14:paraId="0446A659" w14:textId="77777777" w:rsidR="007D3743" w:rsidRPr="007D3743" w:rsidRDefault="007D3743" w:rsidP="007D3743">
      <w:r w:rsidRPr="007D3743">
        <w:lastRenderedPageBreak/>
        <w:t>En prefloración, recomendamos el uso de </w:t>
      </w:r>
      <w:hyperlink r:id="rId9" w:history="1">
        <w:r w:rsidRPr="007D3743">
          <w:rPr>
            <w:rStyle w:val="Hipervnculo"/>
          </w:rPr>
          <w:t>Big One</w:t>
        </w:r>
      </w:hyperlink>
      <w:r w:rsidRPr="007D3743">
        <w:t> para estimulador la floración. Es conveniente usarlo por pulverización en las primeras aplicaciones (cada 10 días), para luego emplearlo en riego.</w:t>
      </w:r>
    </w:p>
    <w:p w14:paraId="25684FA4" w14:textId="77777777" w:rsidR="007D3743" w:rsidRPr="007D3743" w:rsidRDefault="007D3743" w:rsidP="007D3743">
      <w:r w:rsidRPr="007D3743">
        <w:t>En la fase de floración puedes añadir otro suplemento de </w:t>
      </w:r>
      <w:hyperlink r:id="rId10" w:history="1">
        <w:r w:rsidRPr="007D3743">
          <w:rPr>
            <w:rStyle w:val="Hipervnculo"/>
          </w:rPr>
          <w:t>Micro Vita</w:t>
        </w:r>
      </w:hyperlink>
      <w:r w:rsidRPr="007D3743">
        <w:t> junto con </w:t>
      </w:r>
      <w:hyperlink r:id="rId11" w:history="1">
        <w:r w:rsidRPr="007D3743">
          <w:rPr>
            <w:rStyle w:val="Hipervnculo"/>
          </w:rPr>
          <w:t>Top Candy</w:t>
        </w:r>
      </w:hyperlink>
      <w:r w:rsidRPr="007D3743">
        <w:t>, fertilizante 100% orgánico. El remate final para cogollos voluminosos lo haremos con riegos de </w:t>
      </w:r>
      <w:hyperlink r:id="rId12" w:history="1">
        <w:r w:rsidRPr="007D3743">
          <w:rPr>
            <w:rStyle w:val="Hipervnculo"/>
          </w:rPr>
          <w:t>Top Bud</w:t>
        </w:r>
      </w:hyperlink>
      <w:r w:rsidRPr="007D3743">
        <w:t>.</w:t>
      </w:r>
    </w:p>
    <w:p w14:paraId="2DC41FF8" w14:textId="77777777" w:rsidR="007D3743" w:rsidRPr="007D3743" w:rsidRDefault="007D3743" w:rsidP="007D3743">
      <w:r w:rsidRPr="007D3743">
        <w:rPr>
          <w:b/>
          <w:bCs/>
        </w:rPr>
        <w:t>CONSEJOS</w:t>
      </w:r>
    </w:p>
    <w:p w14:paraId="580B3B51" w14:textId="77777777" w:rsidR="007D3743" w:rsidRPr="007D3743" w:rsidRDefault="007D3743" w:rsidP="007D3743">
      <w:r w:rsidRPr="007D3743">
        <w:t>Almacenar en lugar fresco y seco en su envase original. Evitar temperaturas extremas. Proteger de la luz solar. Top Tabs tiene una vida útil mínima de dos años desde la fecha de producción si se almacena de acuerdo a las observaciones indicadas.</w:t>
      </w:r>
      <w:r w:rsidRPr="007D3743">
        <w:br/>
        <w:t>- No comer, beber ni fumar durante su utilización.</w:t>
      </w:r>
      <w:r w:rsidRPr="007D3743">
        <w:br/>
        <w:t>- Mantener fuera del alcance de los niños.</w:t>
      </w:r>
    </w:p>
    <w:p w14:paraId="41EF848B" w14:textId="77777777" w:rsidR="007D3743" w:rsidRPr="007D3743" w:rsidRDefault="007D3743" w:rsidP="007D3743">
      <w:r w:rsidRPr="007D3743">
        <w:rPr>
          <w:b/>
          <w:bCs/>
        </w:rPr>
        <w:t>FORMATOS</w:t>
      </w:r>
    </w:p>
    <w:p w14:paraId="77A65724" w14:textId="3FA04E5C" w:rsidR="007D3743" w:rsidRPr="007D3743" w:rsidRDefault="007D3743">
      <w:r w:rsidRPr="007D3743">
        <w:t>Top Tabs de Top Crop está disponible en formatos de:</w:t>
      </w:r>
      <w:r w:rsidRPr="007D3743">
        <w:br/>
        <w:t>20 Tabs - 200g</w:t>
      </w:r>
      <w:r w:rsidRPr="007D3743">
        <w:br/>
        <w:t>100 Tabs - 1Kg</w:t>
      </w:r>
      <w:r w:rsidRPr="007D3743">
        <w:br/>
        <w:t>500 Tabs - 5Kg</w:t>
      </w:r>
    </w:p>
    <w:p w14:paraId="7ADA2D43" w14:textId="38A39C0C" w:rsidR="00E61204" w:rsidRDefault="00026EEA">
      <w:r>
        <w:rPr>
          <w:b/>
          <w:bCs/>
        </w:rPr>
        <w:t>COMPOSICIÓN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908"/>
        <w:gridCol w:w="702"/>
      </w:tblGrid>
      <w:tr w:rsidR="00C86B9E" w:rsidRPr="00C86B9E" w14:paraId="43DBE513" w14:textId="77777777" w:rsidTr="00C86B9E">
        <w:tc>
          <w:tcPr>
            <w:tcW w:w="0" w:type="auto"/>
            <w:shd w:val="clear" w:color="auto" w:fill="FFFFFF"/>
            <w:vAlign w:val="center"/>
            <w:hideMark/>
          </w:tcPr>
          <w:p w14:paraId="6903312F" w14:textId="77777777" w:rsidR="00C86B9E" w:rsidRPr="00C86B9E" w:rsidRDefault="00C86B9E" w:rsidP="00C86B9E">
            <w:r w:rsidRPr="00C86B9E">
              <w:t>Componente</w:t>
            </w:r>
          </w:p>
        </w:tc>
        <w:tc>
          <w:tcPr>
            <w:tcW w:w="0" w:type="auto"/>
            <w:shd w:val="clear" w:color="auto" w:fill="FFFFFF"/>
            <w:vAlign w:val="center"/>
            <w:hideMark/>
          </w:tcPr>
          <w:p w14:paraId="3A82B80F" w14:textId="77777777" w:rsidR="00C86B9E" w:rsidRPr="00C86B9E" w:rsidRDefault="00C86B9E" w:rsidP="00C86B9E">
            <w:r w:rsidRPr="00C86B9E">
              <w:t>%</w:t>
            </w:r>
          </w:p>
        </w:tc>
      </w:tr>
      <w:tr w:rsidR="00C86B9E" w:rsidRPr="00C86B9E" w14:paraId="3C61B0FF" w14:textId="77777777" w:rsidTr="00C86B9E">
        <w:tc>
          <w:tcPr>
            <w:tcW w:w="0" w:type="auto"/>
            <w:shd w:val="clear" w:color="auto" w:fill="FFFFFF"/>
            <w:vAlign w:val="center"/>
            <w:hideMark/>
          </w:tcPr>
          <w:p w14:paraId="65EFEAA2" w14:textId="77777777" w:rsidR="00C86B9E" w:rsidRPr="00C86B9E" w:rsidRDefault="00C86B9E" w:rsidP="00C86B9E">
            <w:r w:rsidRPr="00C86B9E">
              <w:t>Nitrógeno (N) total:</w:t>
            </w:r>
          </w:p>
        </w:tc>
        <w:tc>
          <w:tcPr>
            <w:tcW w:w="0" w:type="auto"/>
            <w:shd w:val="clear" w:color="auto" w:fill="FFFFFF"/>
            <w:vAlign w:val="center"/>
            <w:hideMark/>
          </w:tcPr>
          <w:p w14:paraId="400935CC" w14:textId="77777777" w:rsidR="00C86B9E" w:rsidRPr="00C86B9E" w:rsidRDefault="00C86B9E" w:rsidP="00C86B9E">
            <w:r w:rsidRPr="00C86B9E">
              <w:t>14.0 %</w:t>
            </w:r>
          </w:p>
        </w:tc>
      </w:tr>
      <w:tr w:rsidR="00C86B9E" w:rsidRPr="00C86B9E" w14:paraId="75955F4B" w14:textId="77777777" w:rsidTr="00C86B9E">
        <w:tc>
          <w:tcPr>
            <w:tcW w:w="0" w:type="auto"/>
            <w:shd w:val="clear" w:color="auto" w:fill="FFFFFF"/>
            <w:vAlign w:val="center"/>
            <w:hideMark/>
          </w:tcPr>
          <w:p w14:paraId="0ACFF0F8" w14:textId="77777777" w:rsidR="00C86B9E" w:rsidRPr="00C86B9E" w:rsidRDefault="00C86B9E" w:rsidP="00C86B9E">
            <w:r w:rsidRPr="00C86B9E">
              <w:t>Nitrógeno (N) de la urea formaldehido</w:t>
            </w:r>
          </w:p>
        </w:tc>
        <w:tc>
          <w:tcPr>
            <w:tcW w:w="0" w:type="auto"/>
            <w:shd w:val="clear" w:color="auto" w:fill="FFFFFF"/>
            <w:vAlign w:val="center"/>
            <w:hideMark/>
          </w:tcPr>
          <w:p w14:paraId="665C14C3" w14:textId="77777777" w:rsidR="00C86B9E" w:rsidRPr="00C86B9E" w:rsidRDefault="00C86B9E" w:rsidP="00C86B9E">
            <w:r w:rsidRPr="00C86B9E">
              <w:t>5.7 %</w:t>
            </w:r>
          </w:p>
        </w:tc>
      </w:tr>
      <w:tr w:rsidR="00C86B9E" w:rsidRPr="00C86B9E" w14:paraId="6284C443" w14:textId="77777777" w:rsidTr="00C86B9E">
        <w:tc>
          <w:tcPr>
            <w:tcW w:w="0" w:type="auto"/>
            <w:shd w:val="clear" w:color="auto" w:fill="FFFFFF"/>
            <w:vAlign w:val="center"/>
            <w:hideMark/>
          </w:tcPr>
          <w:p w14:paraId="7E75B402" w14:textId="77777777" w:rsidR="00C86B9E" w:rsidRPr="00C86B9E" w:rsidRDefault="00C86B9E" w:rsidP="00C86B9E">
            <w:r w:rsidRPr="00C86B9E">
              <w:t>Nitrógeno (N) de la urea formaldehido soluble en agua fría</w:t>
            </w:r>
          </w:p>
        </w:tc>
        <w:tc>
          <w:tcPr>
            <w:tcW w:w="0" w:type="auto"/>
            <w:shd w:val="clear" w:color="auto" w:fill="FFFFFF"/>
            <w:vAlign w:val="center"/>
            <w:hideMark/>
          </w:tcPr>
          <w:p w14:paraId="0487A2FF" w14:textId="77777777" w:rsidR="00C86B9E" w:rsidRPr="00C86B9E" w:rsidRDefault="00C86B9E" w:rsidP="00C86B9E">
            <w:r w:rsidRPr="00C86B9E">
              <w:t>2.9 %</w:t>
            </w:r>
          </w:p>
        </w:tc>
      </w:tr>
      <w:tr w:rsidR="00C86B9E" w:rsidRPr="00C86B9E" w14:paraId="027B5894" w14:textId="77777777" w:rsidTr="00C86B9E">
        <w:tc>
          <w:tcPr>
            <w:tcW w:w="0" w:type="auto"/>
            <w:shd w:val="clear" w:color="auto" w:fill="FFFFFF"/>
            <w:vAlign w:val="center"/>
            <w:hideMark/>
          </w:tcPr>
          <w:p w14:paraId="1A6A1DF3" w14:textId="77777777" w:rsidR="00C86B9E" w:rsidRPr="00C86B9E" w:rsidRDefault="00C86B9E" w:rsidP="00C86B9E">
            <w:r w:rsidRPr="00C86B9E">
              <w:t>Nitrógeno (N) de la urea formaldehido soluble únicamente en agua caliente</w:t>
            </w:r>
          </w:p>
        </w:tc>
        <w:tc>
          <w:tcPr>
            <w:tcW w:w="0" w:type="auto"/>
            <w:shd w:val="clear" w:color="auto" w:fill="FFFFFF"/>
            <w:vAlign w:val="center"/>
            <w:hideMark/>
          </w:tcPr>
          <w:p w14:paraId="740BC46C" w14:textId="77777777" w:rsidR="00C86B9E" w:rsidRPr="00C86B9E" w:rsidRDefault="00C86B9E" w:rsidP="00C86B9E">
            <w:r w:rsidRPr="00C86B9E">
              <w:t>2.1 %</w:t>
            </w:r>
          </w:p>
        </w:tc>
      </w:tr>
      <w:tr w:rsidR="00C86B9E" w:rsidRPr="00C86B9E" w14:paraId="7BE92A2B" w14:textId="77777777" w:rsidTr="00C86B9E">
        <w:tc>
          <w:tcPr>
            <w:tcW w:w="0" w:type="auto"/>
            <w:shd w:val="clear" w:color="auto" w:fill="FFFFFF"/>
            <w:vAlign w:val="center"/>
            <w:hideMark/>
          </w:tcPr>
          <w:p w14:paraId="5101C443" w14:textId="77777777" w:rsidR="00C86B9E" w:rsidRPr="00C86B9E" w:rsidRDefault="00C86B9E" w:rsidP="00C86B9E">
            <w:r w:rsidRPr="00C86B9E">
              <w:rPr>
                <w:lang w:val="it-IT"/>
              </w:rPr>
              <w:t>Nitrógeno (N) ureico</w:t>
            </w:r>
          </w:p>
        </w:tc>
        <w:tc>
          <w:tcPr>
            <w:tcW w:w="0" w:type="auto"/>
            <w:shd w:val="clear" w:color="auto" w:fill="FFFFFF"/>
            <w:vAlign w:val="center"/>
            <w:hideMark/>
          </w:tcPr>
          <w:p w14:paraId="4BD31569" w14:textId="77777777" w:rsidR="00C86B9E" w:rsidRPr="00C86B9E" w:rsidRDefault="00C86B9E" w:rsidP="00C86B9E">
            <w:r w:rsidRPr="00C86B9E">
              <w:rPr>
                <w:lang w:val="it-IT"/>
              </w:rPr>
              <w:t>4.1 %</w:t>
            </w:r>
          </w:p>
        </w:tc>
      </w:tr>
      <w:tr w:rsidR="00C86B9E" w:rsidRPr="00C86B9E" w14:paraId="626D7BB8" w14:textId="77777777" w:rsidTr="00C86B9E">
        <w:tc>
          <w:tcPr>
            <w:tcW w:w="0" w:type="auto"/>
            <w:shd w:val="clear" w:color="auto" w:fill="FFFFFF"/>
            <w:vAlign w:val="center"/>
            <w:hideMark/>
          </w:tcPr>
          <w:p w14:paraId="3B03A956" w14:textId="77777777" w:rsidR="00C86B9E" w:rsidRPr="00C86B9E" w:rsidRDefault="00C86B9E" w:rsidP="00C86B9E">
            <w:r w:rsidRPr="00C86B9E">
              <w:rPr>
                <w:lang w:val="it-IT"/>
              </w:rPr>
              <w:t>Nitrógeno (N) amoniacal</w:t>
            </w:r>
          </w:p>
        </w:tc>
        <w:tc>
          <w:tcPr>
            <w:tcW w:w="0" w:type="auto"/>
            <w:shd w:val="clear" w:color="auto" w:fill="FFFFFF"/>
            <w:vAlign w:val="center"/>
            <w:hideMark/>
          </w:tcPr>
          <w:p w14:paraId="16840982" w14:textId="77777777" w:rsidR="00C86B9E" w:rsidRPr="00C86B9E" w:rsidRDefault="00C86B9E" w:rsidP="00C86B9E">
            <w:r w:rsidRPr="00C86B9E">
              <w:rPr>
                <w:lang w:val="it-IT"/>
              </w:rPr>
              <w:t>3.2 %</w:t>
            </w:r>
          </w:p>
        </w:tc>
      </w:tr>
      <w:tr w:rsidR="00C86B9E" w:rsidRPr="00C86B9E" w14:paraId="72F6A3CF" w14:textId="77777777" w:rsidTr="00C86B9E">
        <w:tc>
          <w:tcPr>
            <w:tcW w:w="0" w:type="auto"/>
            <w:shd w:val="clear" w:color="auto" w:fill="FFFFFF"/>
            <w:vAlign w:val="center"/>
            <w:hideMark/>
          </w:tcPr>
          <w:p w14:paraId="1D30243A" w14:textId="77777777" w:rsidR="00C86B9E" w:rsidRPr="00C86B9E" w:rsidRDefault="00C86B9E" w:rsidP="00C86B9E">
            <w:r w:rsidRPr="00C86B9E">
              <w:t>Nitrógeno (N) nítrico</w:t>
            </w:r>
          </w:p>
        </w:tc>
        <w:tc>
          <w:tcPr>
            <w:tcW w:w="0" w:type="auto"/>
            <w:shd w:val="clear" w:color="auto" w:fill="FFFFFF"/>
            <w:vAlign w:val="center"/>
            <w:hideMark/>
          </w:tcPr>
          <w:p w14:paraId="5AEA8B80" w14:textId="77777777" w:rsidR="00C86B9E" w:rsidRPr="00C86B9E" w:rsidRDefault="00C86B9E" w:rsidP="00C86B9E">
            <w:r w:rsidRPr="00C86B9E">
              <w:t>1.0 %</w:t>
            </w:r>
          </w:p>
        </w:tc>
      </w:tr>
      <w:tr w:rsidR="00C86B9E" w:rsidRPr="00C86B9E" w14:paraId="34BBA52B" w14:textId="77777777" w:rsidTr="00C86B9E">
        <w:tc>
          <w:tcPr>
            <w:tcW w:w="0" w:type="auto"/>
            <w:shd w:val="clear" w:color="auto" w:fill="FFFFFF"/>
            <w:vAlign w:val="center"/>
            <w:hideMark/>
          </w:tcPr>
          <w:p w14:paraId="7AF73521" w14:textId="77777777" w:rsidR="00C86B9E" w:rsidRPr="00C86B9E" w:rsidRDefault="00C86B9E" w:rsidP="00C86B9E">
            <w:r w:rsidRPr="00C86B9E">
              <w:t>Pentóxido de fósforo (P2O5) soluble en citrato amónico neutro y en agua:</w:t>
            </w:r>
          </w:p>
        </w:tc>
        <w:tc>
          <w:tcPr>
            <w:tcW w:w="0" w:type="auto"/>
            <w:shd w:val="clear" w:color="auto" w:fill="FFFFFF"/>
            <w:vAlign w:val="center"/>
            <w:hideMark/>
          </w:tcPr>
          <w:p w14:paraId="78BE39C8" w14:textId="77777777" w:rsidR="00C86B9E" w:rsidRPr="00C86B9E" w:rsidRDefault="00C86B9E" w:rsidP="00C86B9E">
            <w:r w:rsidRPr="00C86B9E">
              <w:t>12.0 %</w:t>
            </w:r>
          </w:p>
        </w:tc>
      </w:tr>
      <w:tr w:rsidR="00C86B9E" w:rsidRPr="00C86B9E" w14:paraId="09B19345" w14:textId="77777777" w:rsidTr="00C86B9E">
        <w:tc>
          <w:tcPr>
            <w:tcW w:w="0" w:type="auto"/>
            <w:shd w:val="clear" w:color="auto" w:fill="FFFFFF"/>
            <w:vAlign w:val="center"/>
            <w:hideMark/>
          </w:tcPr>
          <w:p w14:paraId="1DBC31AC" w14:textId="77777777" w:rsidR="00C86B9E" w:rsidRPr="00C86B9E" w:rsidRDefault="00C86B9E" w:rsidP="00C86B9E">
            <w:r w:rsidRPr="00C86B9E">
              <w:t>Pentóxido de fósforo (P2O5) soluble en agua</w:t>
            </w:r>
          </w:p>
        </w:tc>
        <w:tc>
          <w:tcPr>
            <w:tcW w:w="0" w:type="auto"/>
            <w:shd w:val="clear" w:color="auto" w:fill="FFFFFF"/>
            <w:vAlign w:val="center"/>
            <w:hideMark/>
          </w:tcPr>
          <w:p w14:paraId="57CA5F29" w14:textId="77777777" w:rsidR="00C86B9E" w:rsidRPr="00C86B9E" w:rsidRDefault="00C86B9E" w:rsidP="00C86B9E">
            <w:r w:rsidRPr="00C86B9E">
              <w:t>8.0 %</w:t>
            </w:r>
          </w:p>
        </w:tc>
      </w:tr>
      <w:tr w:rsidR="00C86B9E" w:rsidRPr="00C86B9E" w14:paraId="75B4F3CB" w14:textId="77777777" w:rsidTr="00C86B9E">
        <w:tc>
          <w:tcPr>
            <w:tcW w:w="0" w:type="auto"/>
            <w:shd w:val="clear" w:color="auto" w:fill="FFFFFF"/>
            <w:vAlign w:val="center"/>
            <w:hideMark/>
          </w:tcPr>
          <w:p w14:paraId="7C6B7CB4" w14:textId="77777777" w:rsidR="00C86B9E" w:rsidRPr="00C86B9E" w:rsidRDefault="00C86B9E" w:rsidP="00C86B9E">
            <w:r w:rsidRPr="00C86B9E">
              <w:t>Oxido de potasio (K2O) soluble en agua:</w:t>
            </w:r>
          </w:p>
        </w:tc>
        <w:tc>
          <w:tcPr>
            <w:tcW w:w="0" w:type="auto"/>
            <w:shd w:val="clear" w:color="auto" w:fill="FFFFFF"/>
            <w:vAlign w:val="center"/>
            <w:hideMark/>
          </w:tcPr>
          <w:p w14:paraId="429BFFE6" w14:textId="77777777" w:rsidR="00C86B9E" w:rsidRPr="00C86B9E" w:rsidRDefault="00C86B9E" w:rsidP="00C86B9E">
            <w:r w:rsidRPr="00C86B9E">
              <w:t>18.0 %</w:t>
            </w:r>
          </w:p>
        </w:tc>
      </w:tr>
      <w:tr w:rsidR="00C86B9E" w:rsidRPr="00C86B9E" w14:paraId="128727B2" w14:textId="77777777" w:rsidTr="00C86B9E">
        <w:tc>
          <w:tcPr>
            <w:tcW w:w="0" w:type="auto"/>
            <w:shd w:val="clear" w:color="auto" w:fill="FFFFFF"/>
            <w:vAlign w:val="center"/>
            <w:hideMark/>
          </w:tcPr>
          <w:p w14:paraId="39F99966" w14:textId="77777777" w:rsidR="00C86B9E" w:rsidRPr="00C86B9E" w:rsidRDefault="00C86B9E" w:rsidP="00C86B9E">
            <w:r w:rsidRPr="00C86B9E">
              <w:t>Óxido de Magnesio (MgO): </w:t>
            </w:r>
          </w:p>
        </w:tc>
        <w:tc>
          <w:tcPr>
            <w:tcW w:w="0" w:type="auto"/>
            <w:shd w:val="clear" w:color="auto" w:fill="FFFFFF"/>
            <w:vAlign w:val="center"/>
            <w:hideMark/>
          </w:tcPr>
          <w:p w14:paraId="377EB233" w14:textId="77777777" w:rsidR="00C86B9E" w:rsidRPr="00C86B9E" w:rsidRDefault="00C86B9E" w:rsidP="00C86B9E">
            <w:r w:rsidRPr="00C86B9E">
              <w:t>3.0 %</w:t>
            </w:r>
          </w:p>
        </w:tc>
      </w:tr>
      <w:tr w:rsidR="00C86B9E" w:rsidRPr="00C86B9E" w14:paraId="5A25A39C" w14:textId="77777777" w:rsidTr="00C86B9E">
        <w:tc>
          <w:tcPr>
            <w:tcW w:w="0" w:type="auto"/>
            <w:shd w:val="clear" w:color="auto" w:fill="FFFFFF"/>
            <w:vAlign w:val="center"/>
            <w:hideMark/>
          </w:tcPr>
          <w:p w14:paraId="660A90FB" w14:textId="77777777" w:rsidR="00C86B9E" w:rsidRPr="00C86B9E" w:rsidRDefault="00C86B9E" w:rsidP="00C86B9E">
            <w:r w:rsidRPr="00C86B9E">
              <w:t>Azufre (S): </w:t>
            </w:r>
          </w:p>
        </w:tc>
        <w:tc>
          <w:tcPr>
            <w:tcW w:w="0" w:type="auto"/>
            <w:shd w:val="clear" w:color="auto" w:fill="FFFFFF"/>
            <w:vAlign w:val="center"/>
            <w:hideMark/>
          </w:tcPr>
          <w:p w14:paraId="3E68EBAA" w14:textId="77777777" w:rsidR="00C86B9E" w:rsidRPr="00C86B9E" w:rsidRDefault="00C86B9E" w:rsidP="00C86B9E">
            <w:r w:rsidRPr="00C86B9E">
              <w:t>6.1 %</w:t>
            </w:r>
          </w:p>
        </w:tc>
      </w:tr>
      <w:tr w:rsidR="00C86B9E" w:rsidRPr="00C86B9E" w14:paraId="58ED981C" w14:textId="77777777" w:rsidTr="00C86B9E">
        <w:tc>
          <w:tcPr>
            <w:tcW w:w="0" w:type="auto"/>
            <w:shd w:val="clear" w:color="auto" w:fill="FFFFFF"/>
            <w:vAlign w:val="center"/>
            <w:hideMark/>
          </w:tcPr>
          <w:p w14:paraId="7102831E" w14:textId="77777777" w:rsidR="00C86B9E" w:rsidRPr="00C86B9E" w:rsidRDefault="00C86B9E" w:rsidP="00C86B9E">
            <w:r w:rsidRPr="00C86B9E">
              <w:t>Boro (B) soluble en agua: </w:t>
            </w:r>
          </w:p>
        </w:tc>
        <w:tc>
          <w:tcPr>
            <w:tcW w:w="0" w:type="auto"/>
            <w:shd w:val="clear" w:color="auto" w:fill="FFFFFF"/>
            <w:vAlign w:val="center"/>
            <w:hideMark/>
          </w:tcPr>
          <w:p w14:paraId="086D01E0" w14:textId="77777777" w:rsidR="00C86B9E" w:rsidRPr="00C86B9E" w:rsidRDefault="00C86B9E" w:rsidP="00C86B9E">
            <w:r w:rsidRPr="00C86B9E">
              <w:t>0.01 %</w:t>
            </w:r>
          </w:p>
        </w:tc>
      </w:tr>
      <w:tr w:rsidR="00C86B9E" w:rsidRPr="00C86B9E" w14:paraId="2B30FA80" w14:textId="77777777" w:rsidTr="00C86B9E">
        <w:tc>
          <w:tcPr>
            <w:tcW w:w="0" w:type="auto"/>
            <w:shd w:val="clear" w:color="auto" w:fill="FFFFFF"/>
            <w:vAlign w:val="center"/>
            <w:hideMark/>
          </w:tcPr>
          <w:p w14:paraId="2DF14AAE" w14:textId="77777777" w:rsidR="00C86B9E" w:rsidRPr="00C86B9E" w:rsidRDefault="00C86B9E" w:rsidP="00C86B9E">
            <w:r w:rsidRPr="00C86B9E">
              <w:lastRenderedPageBreak/>
              <w:t>Cobre (Cu) soluble en agua: </w:t>
            </w:r>
          </w:p>
        </w:tc>
        <w:tc>
          <w:tcPr>
            <w:tcW w:w="0" w:type="auto"/>
            <w:shd w:val="clear" w:color="auto" w:fill="FFFFFF"/>
            <w:vAlign w:val="center"/>
            <w:hideMark/>
          </w:tcPr>
          <w:p w14:paraId="1CCACD41" w14:textId="77777777" w:rsidR="00C86B9E" w:rsidRPr="00C86B9E" w:rsidRDefault="00C86B9E" w:rsidP="00C86B9E">
            <w:r w:rsidRPr="00C86B9E">
              <w:t>0.040 % </w:t>
            </w:r>
          </w:p>
        </w:tc>
      </w:tr>
      <w:tr w:rsidR="00C86B9E" w:rsidRPr="00C86B9E" w14:paraId="3C416275" w14:textId="77777777" w:rsidTr="00C86B9E">
        <w:tc>
          <w:tcPr>
            <w:tcW w:w="0" w:type="auto"/>
            <w:shd w:val="clear" w:color="auto" w:fill="FFFFFF"/>
            <w:vAlign w:val="center"/>
            <w:hideMark/>
          </w:tcPr>
          <w:p w14:paraId="1106C9B5" w14:textId="77777777" w:rsidR="00C86B9E" w:rsidRPr="00C86B9E" w:rsidRDefault="00C86B9E" w:rsidP="00C86B9E">
            <w:r w:rsidRPr="00C86B9E">
              <w:t>Hierro (Fe) soluble en agua: </w:t>
            </w:r>
          </w:p>
        </w:tc>
        <w:tc>
          <w:tcPr>
            <w:tcW w:w="0" w:type="auto"/>
            <w:shd w:val="clear" w:color="auto" w:fill="FFFFFF"/>
            <w:vAlign w:val="center"/>
            <w:hideMark/>
          </w:tcPr>
          <w:p w14:paraId="4C74E9FD" w14:textId="77777777" w:rsidR="00C86B9E" w:rsidRPr="00C86B9E" w:rsidRDefault="00C86B9E" w:rsidP="00C86B9E">
            <w:r w:rsidRPr="00C86B9E">
              <w:t>0.80 % </w:t>
            </w:r>
          </w:p>
        </w:tc>
      </w:tr>
      <w:tr w:rsidR="00C86B9E" w:rsidRPr="00C86B9E" w14:paraId="5E7FF651" w14:textId="77777777" w:rsidTr="00C86B9E">
        <w:tc>
          <w:tcPr>
            <w:tcW w:w="0" w:type="auto"/>
            <w:shd w:val="clear" w:color="auto" w:fill="FFFFFF"/>
            <w:vAlign w:val="center"/>
            <w:hideMark/>
          </w:tcPr>
          <w:p w14:paraId="336AEA49" w14:textId="77777777" w:rsidR="00C86B9E" w:rsidRPr="00C86B9E" w:rsidRDefault="00C86B9E" w:rsidP="00C86B9E">
            <w:r w:rsidRPr="00C86B9E">
              <w:t>Manganeso (Mn) soluble en agua: </w:t>
            </w:r>
          </w:p>
        </w:tc>
        <w:tc>
          <w:tcPr>
            <w:tcW w:w="0" w:type="auto"/>
            <w:shd w:val="clear" w:color="auto" w:fill="FFFFFF"/>
            <w:vAlign w:val="center"/>
            <w:hideMark/>
          </w:tcPr>
          <w:p w14:paraId="27AACCCF" w14:textId="77777777" w:rsidR="00C86B9E" w:rsidRPr="00C86B9E" w:rsidRDefault="00C86B9E" w:rsidP="00C86B9E">
            <w:r w:rsidRPr="00C86B9E">
              <w:t>0.10 %</w:t>
            </w:r>
          </w:p>
        </w:tc>
      </w:tr>
      <w:tr w:rsidR="00C86B9E" w:rsidRPr="00C86B9E" w14:paraId="3C43362C" w14:textId="77777777" w:rsidTr="00C86B9E">
        <w:tc>
          <w:tcPr>
            <w:tcW w:w="0" w:type="auto"/>
            <w:shd w:val="clear" w:color="auto" w:fill="FFFFFF"/>
            <w:vAlign w:val="center"/>
            <w:hideMark/>
          </w:tcPr>
          <w:p w14:paraId="6E196873" w14:textId="77777777" w:rsidR="00C86B9E" w:rsidRPr="00C86B9E" w:rsidRDefault="00C86B9E" w:rsidP="00C86B9E">
            <w:r w:rsidRPr="00C86B9E">
              <w:t>Molibdeno (Mo) soluble en agua: </w:t>
            </w:r>
          </w:p>
        </w:tc>
        <w:tc>
          <w:tcPr>
            <w:tcW w:w="0" w:type="auto"/>
            <w:shd w:val="clear" w:color="auto" w:fill="FFFFFF"/>
            <w:vAlign w:val="center"/>
            <w:hideMark/>
          </w:tcPr>
          <w:p w14:paraId="5FC8FA9D" w14:textId="77777777" w:rsidR="00C86B9E" w:rsidRPr="00C86B9E" w:rsidRDefault="00C86B9E" w:rsidP="00C86B9E">
            <w:r w:rsidRPr="00C86B9E">
              <w:t>0.010 %</w:t>
            </w:r>
          </w:p>
        </w:tc>
      </w:tr>
      <w:tr w:rsidR="00C86B9E" w:rsidRPr="00C86B9E" w14:paraId="02FA02FA" w14:textId="77777777" w:rsidTr="00C86B9E">
        <w:tc>
          <w:tcPr>
            <w:tcW w:w="0" w:type="auto"/>
            <w:shd w:val="clear" w:color="auto" w:fill="FFFFFF"/>
            <w:vAlign w:val="center"/>
            <w:hideMark/>
          </w:tcPr>
          <w:p w14:paraId="7982075A" w14:textId="77777777" w:rsidR="00C86B9E" w:rsidRPr="00C86B9E" w:rsidRDefault="00C86B9E" w:rsidP="00C86B9E">
            <w:r w:rsidRPr="00C86B9E">
              <w:t>Zinc (Zn) soluble en agua: </w:t>
            </w:r>
          </w:p>
        </w:tc>
        <w:tc>
          <w:tcPr>
            <w:tcW w:w="0" w:type="auto"/>
            <w:shd w:val="clear" w:color="auto" w:fill="FFFFFF"/>
            <w:vAlign w:val="center"/>
            <w:hideMark/>
          </w:tcPr>
          <w:p w14:paraId="0C6111F1" w14:textId="77777777" w:rsidR="00C86B9E" w:rsidRPr="00C86B9E" w:rsidRDefault="00C86B9E" w:rsidP="00C86B9E">
            <w:r w:rsidRPr="00C86B9E">
              <w:t>0.020 % </w:t>
            </w:r>
          </w:p>
        </w:tc>
      </w:tr>
      <w:tr w:rsidR="00C86B9E" w:rsidRPr="00C86B9E" w14:paraId="40F66E1F" w14:textId="77777777" w:rsidTr="00C86B9E">
        <w:tc>
          <w:tcPr>
            <w:tcW w:w="0" w:type="auto"/>
            <w:shd w:val="clear" w:color="auto" w:fill="FFFFFF"/>
            <w:vAlign w:val="center"/>
            <w:hideMark/>
          </w:tcPr>
          <w:p w14:paraId="4C50DBAE" w14:textId="77777777" w:rsidR="00C86B9E" w:rsidRPr="00C86B9E" w:rsidRDefault="00C86B9E" w:rsidP="00C86B9E">
            <w:r w:rsidRPr="00C86B9E">
              <w:t>Extracto de Ascophyllum nodosum:</w:t>
            </w:r>
          </w:p>
        </w:tc>
        <w:tc>
          <w:tcPr>
            <w:tcW w:w="0" w:type="auto"/>
            <w:shd w:val="clear" w:color="auto" w:fill="FFFFFF"/>
            <w:vAlign w:val="center"/>
            <w:hideMark/>
          </w:tcPr>
          <w:p w14:paraId="55087828" w14:textId="77777777" w:rsidR="00C86B9E" w:rsidRPr="00C86B9E" w:rsidRDefault="00C86B9E" w:rsidP="00C86B9E">
            <w:r w:rsidRPr="00C86B9E">
              <w:t> 3 %</w:t>
            </w:r>
          </w:p>
        </w:tc>
      </w:tr>
    </w:tbl>
    <w:p w14:paraId="48EB8210" w14:textId="77777777" w:rsidR="00C86B9E" w:rsidRPr="00C86B9E" w:rsidRDefault="00C86B9E" w:rsidP="00C86B9E">
      <w:r w:rsidRPr="00C86B9E">
        <w:t>Fertilizante apto para jardinería doméstica.</w:t>
      </w:r>
    </w:p>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7D3743"/>
    <w:rsid w:val="00BB475E"/>
    <w:rsid w:val="00C86B9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020745405">
      <w:bodyDiv w:val="1"/>
      <w:marLeft w:val="0"/>
      <w:marRight w:val="0"/>
      <w:marTop w:val="0"/>
      <w:marBottom w:val="0"/>
      <w:divBdr>
        <w:top w:val="none" w:sz="0" w:space="0" w:color="auto"/>
        <w:left w:val="none" w:sz="0" w:space="0" w:color="auto"/>
        <w:bottom w:val="none" w:sz="0" w:space="0" w:color="auto"/>
        <w:right w:val="none" w:sz="0" w:space="0" w:color="auto"/>
      </w:divBdr>
    </w:div>
    <w:div w:id="111949048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7703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es/fertilizantes-liquidos/24-green-explosion.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opcropfert.com/shop/es/fertilizantes-liquidos/23-deeper-underground.html" TargetMode="External"/><Relationship Id="rId12" Type="http://schemas.openxmlformats.org/officeDocument/2006/relationships/hyperlink" Target="https://topcropfert.com/shop/es/fertilizantes-liquidos/13-top-bu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pcropfert.com/shop/es/fertilizantes-solidos/30-microvita.html" TargetMode="External"/><Relationship Id="rId11" Type="http://schemas.openxmlformats.org/officeDocument/2006/relationships/hyperlink" Target="https://topcropfert.com/shop/es/fertilizantes-liquidos/51-top-candy.html" TargetMode="External"/><Relationship Id="rId5" Type="http://schemas.openxmlformats.org/officeDocument/2006/relationships/hyperlink" Target="https://topcropfert.com/shop/es/fertilizantes-liquidos/51-top-candy.html" TargetMode="External"/><Relationship Id="rId10" Type="http://schemas.openxmlformats.org/officeDocument/2006/relationships/hyperlink" Target="https://topcropfert.com/shop/es/fertilizantes-solidos/30-microvita.html" TargetMode="External"/><Relationship Id="rId4" Type="http://schemas.openxmlformats.org/officeDocument/2006/relationships/hyperlink" Target="https://topcropfert.com/shop/es/fertilizantes-solidos/30-microvita.html" TargetMode="External"/><Relationship Id="rId9" Type="http://schemas.openxmlformats.org/officeDocument/2006/relationships/hyperlink" Target="https://topcropfert.com/shop/es/fertilizantes-liquidos/8-big-on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838</Words>
  <Characters>4611</Characters>
  <Application>Microsoft Office Word</Application>
  <DocSecurity>0</DocSecurity>
  <Lines>38</Lines>
  <Paragraphs>10</Paragraphs>
  <ScaleCrop>false</ScaleCrop>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5</cp:revision>
  <dcterms:created xsi:type="dcterms:W3CDTF">2022-11-07T15:25:00Z</dcterms:created>
  <dcterms:modified xsi:type="dcterms:W3CDTF">2022-11-23T12:02:00Z</dcterms:modified>
</cp:coreProperties>
</file>