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70413B56" w14:textId="77777777" w:rsidR="000B4A41" w:rsidRPr="000B4A41" w:rsidRDefault="000B4A41" w:rsidP="000B4A41">
      <w:r w:rsidRPr="000B4A41">
        <w:rPr>
          <w:b/>
          <w:bCs/>
        </w:rPr>
        <w:t>Green Explosion</w:t>
      </w:r>
      <w:r w:rsidRPr="000B4A41">
        <w:t> di </w:t>
      </w:r>
      <w:r w:rsidRPr="000B4A41">
        <w:rPr>
          <w:b/>
          <w:bCs/>
        </w:rPr>
        <w:t>Trop Crop</w:t>
      </w:r>
      <w:r w:rsidRPr="000B4A41">
        <w:t xml:space="preserve"> è un ottimo stimolatore di crescita formulato a base di estratto di alghe del </w:t>
      </w:r>
      <w:proofErr w:type="gramStart"/>
      <w:r w:rsidRPr="000B4A41">
        <w:t>genere</w:t>
      </w:r>
      <w:proofErr w:type="gramEnd"/>
      <w:r w:rsidRPr="000B4A41">
        <w:t xml:space="preserve"> Ascophyllum nodosum. Promuove la proliferazione cellulare e fornisce un notevole incremento del volume della massa vegetale e del sistema radicale, aumentando il contenuto di clorofilla per migliorare la fotosintesi. Ciò comporta un notevole aumento della percentuale di germogli (fino al 30%) e di conseguenza, di fiori.</w:t>
      </w:r>
    </w:p>
    <w:p w14:paraId="118E4C4E" w14:textId="77777777" w:rsidR="000B4A41" w:rsidRPr="000B4A41" w:rsidRDefault="000B4A41" w:rsidP="000B4A41">
      <w:r w:rsidRPr="000B4A41">
        <w:rPr>
          <w:b/>
          <w:bCs/>
        </w:rPr>
        <w:t>COME USARE GREEN EXPLOSION DI TOP CROP</w:t>
      </w:r>
    </w:p>
    <w:p w14:paraId="1B11FBC5" w14:textId="77777777" w:rsidR="000B4A41" w:rsidRPr="000B4A41" w:rsidRDefault="000B4A41" w:rsidP="000B4A41">
      <w:r w:rsidRPr="000B4A41">
        <w:t>Green Explosion deve essere utilizzato mediante nebulizzazione, cioè per via fogliare, in questo modo sarà possibile ottenere più velocemente risultati migliori. Rispettare sempre il dosaggio indicato sull'etichetta del prodotto. In questo caso inizierai con il dosaggio più basso, con la possibilità di aumentarlo progressivamente fino a 2 ml/l d’acqua.</w:t>
      </w:r>
    </w:p>
    <w:p w14:paraId="1BF46738" w14:textId="77777777" w:rsidR="000B4A41" w:rsidRPr="000B4A41" w:rsidRDefault="000B4A41" w:rsidP="000B4A41">
      <w:r w:rsidRPr="000B4A41">
        <w:t>L'applicazione Green Explosion di Top Crop è limitata a una volta alla settimana o a ogni due settimane. L'aumento della massa vegetale è evidente, con oltre un 30% di nuovi germogli, e quindi un aumento dei fiori. Allo stesso tempo è un eccellente rivitalizzante e ricostituente per i danni causati da parassiti e vari fattori di stress (siccità, temperature estreme, ecc...).</w:t>
      </w:r>
    </w:p>
    <w:p w14:paraId="0A28A118" w14:textId="77777777" w:rsidR="000B4A41" w:rsidRPr="000B4A41" w:rsidRDefault="000B4A41" w:rsidP="000B4A41">
      <w:r w:rsidRPr="000B4A41">
        <w:rPr>
          <w:b/>
          <w:bCs/>
        </w:rPr>
        <w:t>CONSIGLI</w:t>
      </w:r>
    </w:p>
    <w:p w14:paraId="53B8CFB6" w14:textId="77777777" w:rsidR="000B4A41" w:rsidRPr="000B4A41" w:rsidRDefault="000B4A41" w:rsidP="000B4A41">
      <w:r w:rsidRPr="000B4A41">
        <w:t>Ti consigliamo di conservare questo fertilizzante in un luogo asciutto, evitando la sua esposizione alla luce solare diretta. Conservandolo in questo modo, manterrai la qualità del prodotto.</w:t>
      </w:r>
    </w:p>
    <w:p w14:paraId="74056995" w14:textId="77777777" w:rsidR="000B4A41" w:rsidRPr="000B4A41" w:rsidRDefault="000B4A41" w:rsidP="000B4A41">
      <w:r w:rsidRPr="000B4A41">
        <w:t>Puoi combinare Green Explosion con altri fertilizzanti destinati alla fase di crescita. Consultare </w:t>
      </w:r>
      <w:hyperlink r:id="rId5" w:history="1">
        <w:r w:rsidRPr="000B4A41">
          <w:rPr>
            <w:rStyle w:val="Hipervnculo"/>
          </w:rPr>
          <w:t>la tabella di coltivazione Top Crop</w:t>
        </w:r>
      </w:hyperlink>
      <w:r w:rsidRPr="000B4A41">
        <w:t> per una guida sulle applicazioni di ogni prodotto. Agitare bene il prodotto prima di ogni utilizzo. Se vuoi saperne di più su tutti i prodotti Top Crop non dimenticare di dare un'occhiata al nostro canale </w:t>
      </w:r>
      <w:hyperlink r:id="rId6" w:history="1">
        <w:r w:rsidRPr="000B4A41">
          <w:rPr>
            <w:rStyle w:val="Hipervnculo"/>
          </w:rPr>
          <w:t>YouTube</w:t>
        </w:r>
      </w:hyperlink>
      <w:r w:rsidRPr="000B4A41">
        <w:t>.</w:t>
      </w:r>
    </w:p>
    <w:p w14:paraId="0EB06B9F" w14:textId="77777777" w:rsidR="000B4A41" w:rsidRPr="000B4A41" w:rsidRDefault="000B4A41" w:rsidP="000B4A41">
      <w:r w:rsidRPr="000B4A41">
        <w:rPr>
          <w:b/>
          <w:bCs/>
        </w:rPr>
        <w:t>FORMATI</w:t>
      </w:r>
    </w:p>
    <w:p w14:paraId="727F3522" w14:textId="14DF962E" w:rsidR="000B4A41" w:rsidRPr="000B4A41" w:rsidRDefault="000B4A41">
      <w:r w:rsidRPr="000B4A41">
        <w:t>Troverai Green Explosion nel tuo growshop di fiducia nei seguenti formati: 250mL.</w:t>
      </w:r>
    </w:p>
    <w:p w14:paraId="7ADA2D43" w14:textId="45B95859" w:rsidR="00E61204" w:rsidRDefault="00026EEA">
      <w:r>
        <w:rPr>
          <w:b/>
          <w:bCs/>
        </w:rPr>
        <w:t>COMPOSI</w:t>
      </w:r>
      <w:r w:rsidR="00F606A6">
        <w:rPr>
          <w:b/>
          <w:bCs/>
        </w:rPr>
        <w:t>ZIONE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803"/>
        <w:gridCol w:w="997"/>
      </w:tblGrid>
      <w:tr w:rsidR="003745BF" w:rsidRPr="003745BF" w14:paraId="44E0678D" w14:textId="77777777" w:rsidTr="003745BF">
        <w:tc>
          <w:tcPr>
            <w:tcW w:w="0" w:type="auto"/>
            <w:shd w:val="clear" w:color="auto" w:fill="FFFFFF"/>
            <w:vAlign w:val="center"/>
            <w:hideMark/>
          </w:tcPr>
          <w:p w14:paraId="01360F6B" w14:textId="77777777" w:rsidR="003745BF" w:rsidRPr="003745BF" w:rsidRDefault="003745BF" w:rsidP="003745BF">
            <w:r w:rsidRPr="003745BF">
              <w:t>Richezza Garantita %</w:t>
            </w:r>
          </w:p>
        </w:tc>
        <w:tc>
          <w:tcPr>
            <w:tcW w:w="0" w:type="auto"/>
            <w:shd w:val="clear" w:color="auto" w:fill="FFFFFF"/>
            <w:vAlign w:val="center"/>
            <w:hideMark/>
          </w:tcPr>
          <w:p w14:paraId="11FA2815" w14:textId="77777777" w:rsidR="003745BF" w:rsidRPr="003745BF" w:rsidRDefault="003745BF" w:rsidP="003745BF">
            <w:r w:rsidRPr="003745BF">
              <w:t>p/p</w:t>
            </w:r>
          </w:p>
        </w:tc>
      </w:tr>
      <w:tr w:rsidR="003745BF" w:rsidRPr="003745BF" w14:paraId="02873900" w14:textId="77777777" w:rsidTr="003745BF">
        <w:tc>
          <w:tcPr>
            <w:tcW w:w="0" w:type="auto"/>
            <w:shd w:val="clear" w:color="auto" w:fill="FFFFFF"/>
            <w:vAlign w:val="center"/>
            <w:hideMark/>
          </w:tcPr>
          <w:p w14:paraId="6FF15ADB" w14:textId="77777777" w:rsidR="003745BF" w:rsidRPr="003745BF" w:rsidRDefault="003745BF" w:rsidP="003745BF">
            <w:r w:rsidRPr="003745BF">
              <w:t>Ossido di potassio (K2O) solubile in acqua:</w:t>
            </w:r>
          </w:p>
        </w:tc>
        <w:tc>
          <w:tcPr>
            <w:tcW w:w="0" w:type="auto"/>
            <w:shd w:val="clear" w:color="auto" w:fill="FFFFFF"/>
            <w:vAlign w:val="center"/>
            <w:hideMark/>
          </w:tcPr>
          <w:p w14:paraId="193788C9" w14:textId="77777777" w:rsidR="003745BF" w:rsidRPr="003745BF" w:rsidRDefault="003745BF" w:rsidP="003745BF">
            <w:r w:rsidRPr="003745BF">
              <w:t>2.5% </w:t>
            </w:r>
          </w:p>
        </w:tc>
      </w:tr>
      <w:tr w:rsidR="003745BF" w:rsidRPr="003745BF" w14:paraId="713B6B07" w14:textId="77777777" w:rsidTr="003745BF">
        <w:tc>
          <w:tcPr>
            <w:tcW w:w="0" w:type="auto"/>
            <w:shd w:val="clear" w:color="auto" w:fill="FFFFFF"/>
            <w:vAlign w:val="center"/>
            <w:hideMark/>
          </w:tcPr>
          <w:p w14:paraId="18A26E66" w14:textId="77777777" w:rsidR="003745BF" w:rsidRPr="003745BF" w:rsidRDefault="003745BF" w:rsidP="003745BF">
            <w:r w:rsidRPr="003745BF">
              <w:t>Acido Alginico:</w:t>
            </w:r>
          </w:p>
        </w:tc>
        <w:tc>
          <w:tcPr>
            <w:tcW w:w="0" w:type="auto"/>
            <w:shd w:val="clear" w:color="auto" w:fill="FFFFFF"/>
            <w:vAlign w:val="center"/>
            <w:hideMark/>
          </w:tcPr>
          <w:p w14:paraId="2A71F7C8" w14:textId="77777777" w:rsidR="003745BF" w:rsidRPr="003745BF" w:rsidRDefault="003745BF" w:rsidP="003745BF">
            <w:r w:rsidRPr="003745BF">
              <w:t>1.7%</w:t>
            </w:r>
          </w:p>
        </w:tc>
      </w:tr>
      <w:tr w:rsidR="003745BF" w:rsidRPr="003745BF" w14:paraId="3974D98D" w14:textId="77777777" w:rsidTr="003745BF">
        <w:tc>
          <w:tcPr>
            <w:tcW w:w="0" w:type="auto"/>
            <w:shd w:val="clear" w:color="auto" w:fill="FFFFFF"/>
            <w:vAlign w:val="center"/>
            <w:hideMark/>
          </w:tcPr>
          <w:p w14:paraId="0F85CE4D" w14:textId="77777777" w:rsidR="003745BF" w:rsidRPr="003745BF" w:rsidRDefault="003745BF" w:rsidP="003745BF">
            <w:r w:rsidRPr="003745BF">
              <w:t>Mannitolo:</w:t>
            </w:r>
          </w:p>
        </w:tc>
        <w:tc>
          <w:tcPr>
            <w:tcW w:w="0" w:type="auto"/>
            <w:shd w:val="clear" w:color="auto" w:fill="FFFFFF"/>
            <w:vAlign w:val="center"/>
            <w:hideMark/>
          </w:tcPr>
          <w:p w14:paraId="1B482309" w14:textId="77777777" w:rsidR="003745BF" w:rsidRPr="003745BF" w:rsidRDefault="003745BF" w:rsidP="003745BF">
            <w:r w:rsidRPr="003745BF">
              <w:t>0.5% </w:t>
            </w:r>
          </w:p>
        </w:tc>
      </w:tr>
      <w:tr w:rsidR="003745BF" w:rsidRPr="003745BF" w14:paraId="388E7156" w14:textId="77777777" w:rsidTr="003745BF">
        <w:tc>
          <w:tcPr>
            <w:tcW w:w="0" w:type="auto"/>
            <w:shd w:val="clear" w:color="auto" w:fill="FFFFFF"/>
            <w:vAlign w:val="center"/>
            <w:hideMark/>
          </w:tcPr>
          <w:p w14:paraId="52CAC26D" w14:textId="77777777" w:rsidR="003745BF" w:rsidRPr="003745BF" w:rsidRDefault="003745BF" w:rsidP="003745BF">
            <w:r w:rsidRPr="003745BF">
              <w:t>pH:</w:t>
            </w:r>
          </w:p>
        </w:tc>
        <w:tc>
          <w:tcPr>
            <w:tcW w:w="0" w:type="auto"/>
            <w:shd w:val="clear" w:color="auto" w:fill="FFFFFF"/>
            <w:vAlign w:val="center"/>
            <w:hideMark/>
          </w:tcPr>
          <w:p w14:paraId="47919F06" w14:textId="77777777" w:rsidR="003745BF" w:rsidRPr="003745BF" w:rsidRDefault="003745BF" w:rsidP="003745BF">
            <w:r w:rsidRPr="003745BF">
              <w:t>9.6 </w:t>
            </w:r>
          </w:p>
        </w:tc>
      </w:tr>
      <w:tr w:rsidR="003745BF" w:rsidRPr="003745BF" w14:paraId="7616C2D8" w14:textId="77777777" w:rsidTr="003745BF">
        <w:tc>
          <w:tcPr>
            <w:tcW w:w="0" w:type="auto"/>
            <w:shd w:val="clear" w:color="auto" w:fill="FFFFFF"/>
            <w:vAlign w:val="center"/>
            <w:hideMark/>
          </w:tcPr>
          <w:p w14:paraId="4B9EC702" w14:textId="77777777" w:rsidR="003745BF" w:rsidRPr="003745BF" w:rsidRDefault="003745BF" w:rsidP="003745BF">
            <w:r w:rsidRPr="003745BF">
              <w:t>Conducibilità elettrica:</w:t>
            </w:r>
          </w:p>
        </w:tc>
        <w:tc>
          <w:tcPr>
            <w:tcW w:w="0" w:type="auto"/>
            <w:shd w:val="clear" w:color="auto" w:fill="FFFFFF"/>
            <w:vAlign w:val="center"/>
            <w:hideMark/>
          </w:tcPr>
          <w:p w14:paraId="25457E9B" w14:textId="77777777" w:rsidR="003745BF" w:rsidRPr="003745BF" w:rsidRDefault="003745BF" w:rsidP="003745BF">
            <w:r w:rsidRPr="003745BF">
              <w:t>49.0 dS/m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B4A41"/>
    <w:rsid w:val="001A0752"/>
    <w:rsid w:val="003745BF"/>
    <w:rsid w:val="00485BFB"/>
    <w:rsid w:val="00746EAF"/>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80">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686369265">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5394205">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I6jiodEhSPt3Wqf1VEnXJQ" TargetMode="External"/><Relationship Id="rId5" Type="http://schemas.openxmlformats.org/officeDocument/2006/relationships/hyperlink" Target="https://topcropfert.com/download/it/tabla_I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334</Words>
  <Characters>1841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2022-11-22T12:49:00Z</dcterms:modified>
</cp:coreProperties>
</file>