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54AF3E99" w:rsidR="00026EEA" w:rsidRPr="00026EEA" w:rsidRDefault="00026EEA" w:rsidP="00026EEA">
      <w:r>
        <w:rPr>
          <w:b/>
          <w:bCs/>
        </w:rPr>
        <w:t>DESCRIPCIÓN</w:t>
      </w:r>
    </w:p>
    <w:p w14:paraId="30F9715E" w14:textId="77777777" w:rsidR="006205FA" w:rsidRPr="006205FA" w:rsidRDefault="006205FA" w:rsidP="006205FA">
      <w:r w:rsidRPr="006205FA">
        <w:rPr>
          <w:b/>
          <w:bCs/>
        </w:rPr>
        <w:t>Green Explosion</w:t>
      </w:r>
      <w:r w:rsidRPr="006205FA">
        <w:t> de </w:t>
      </w:r>
      <w:r w:rsidRPr="006205FA">
        <w:rPr>
          <w:b/>
          <w:bCs/>
        </w:rPr>
        <w:t>Top Crop</w:t>
      </w:r>
      <w:r w:rsidRPr="006205FA">
        <w:t> es un excelente estimulador 100% orgánico de crecimiento vegetal formulado a base de extractos de alga del género Ascophyllum nodosum.  </w:t>
      </w:r>
    </w:p>
    <w:p w14:paraId="6C7EEE86" w14:textId="77777777" w:rsidR="006205FA" w:rsidRPr="006205FA" w:rsidRDefault="006205FA" w:rsidP="006205FA">
      <w:r w:rsidRPr="006205FA">
        <w:t>El uso de Green Explosion es sencillo y muy efectivo a corto plazo, notándose en menos de 48 horas los primeros resultados. Promueve la multiplicación celular de la planta lo que favorece el incremento de la masa vegetal, así como del sistema radicular. Aumenta también el contenido de clorofila y un incremento de hasta un 30% en la proporción de brotes y el consiguiente incremento de flores. </w:t>
      </w:r>
    </w:p>
    <w:p w14:paraId="5C91808A" w14:textId="77777777" w:rsidR="006205FA" w:rsidRPr="006205FA" w:rsidRDefault="006205FA" w:rsidP="006205FA">
      <w:r w:rsidRPr="006205FA">
        <w:rPr>
          <w:b/>
          <w:bCs/>
        </w:rPr>
        <w:t>CÓMO USAR GREEN EXPLOSION DE TOP CROP</w:t>
      </w:r>
    </w:p>
    <w:p w14:paraId="54FD23B2" w14:textId="77777777" w:rsidR="006205FA" w:rsidRPr="006205FA" w:rsidRDefault="006205FA" w:rsidP="006205FA">
      <w:r w:rsidRPr="006205FA">
        <w:t>Green Explosion conviene usarlo mediante pulverización, es decir vía foliar, ya que así acelerarás los resultados. Respeta siempre la dosis indicada en la etiqueta del producto. En este caso empezarás por la dosis más baja, para ir progresivamente aumentándola hasta la dosis máxima de 2ml por 1 litro de agua.</w:t>
      </w:r>
    </w:p>
    <w:p w14:paraId="0E4F3D48" w14:textId="77777777" w:rsidR="006205FA" w:rsidRPr="006205FA" w:rsidRDefault="006205FA" w:rsidP="006205FA">
      <w:r w:rsidRPr="006205FA">
        <w:t>La aplicación de Green Explosión de Top Crop se limita a una vez a la semana o cada dos semanas. Descárgate nuestra </w:t>
      </w:r>
      <w:hyperlink r:id="rId5" w:history="1">
        <w:r w:rsidRPr="006205FA">
          <w:rPr>
            <w:rStyle w:val="Hipervnculo"/>
          </w:rPr>
          <w:t>tabla de cultivo</w:t>
        </w:r>
      </w:hyperlink>
      <w:r w:rsidRPr="006205FA">
        <w:t xml:space="preserve">. El aumento de la masa vegetal es evidente proporcionando hasta más de un 30% de brotes nuevos, por consiguiente, un incremento de flores. Al mismo tiempo es un excelente revitalizante y recuperador de los daños causados por plagas y diferentes factores de estrés (sequía, temperaturas extremas, </w:t>
      </w:r>
      <w:proofErr w:type="gramStart"/>
      <w:r w:rsidRPr="006205FA">
        <w:t>etc...</w:t>
      </w:r>
      <w:proofErr w:type="gramEnd"/>
      <w:r w:rsidRPr="006205FA">
        <w:t>).</w:t>
      </w:r>
    </w:p>
    <w:p w14:paraId="10EEAFED" w14:textId="77777777" w:rsidR="006205FA" w:rsidRPr="006205FA" w:rsidRDefault="006205FA" w:rsidP="006205FA">
      <w:r w:rsidRPr="006205FA">
        <w:rPr>
          <w:b/>
          <w:bCs/>
        </w:rPr>
        <w:t>CONSEJOS</w:t>
      </w:r>
    </w:p>
    <w:p w14:paraId="2FDFD67D" w14:textId="77777777" w:rsidR="006205FA" w:rsidRPr="006205FA" w:rsidRDefault="006205FA" w:rsidP="006205FA">
      <w:r w:rsidRPr="006205FA">
        <w:t>Puedes combinar Green Explosion con otros fertilizantes destinados a la fase de crecimiento. Agítalo bien antes de cada uso. Te recomendamos que guardes este fertilizante en un lugar seco, evitando su exposición a la luz solar directa. Conservándolo así, mantendrás la calidad del producto.</w:t>
      </w:r>
    </w:p>
    <w:p w14:paraId="39344683" w14:textId="77777777" w:rsidR="006205FA" w:rsidRPr="006205FA" w:rsidRDefault="006205FA" w:rsidP="006205FA">
      <w:r w:rsidRPr="006205FA">
        <w:rPr>
          <w:b/>
          <w:bCs/>
        </w:rPr>
        <w:t>FORMATOS</w:t>
      </w:r>
    </w:p>
    <w:p w14:paraId="2C589FF1" w14:textId="10956313" w:rsidR="006205FA" w:rsidRPr="006205FA" w:rsidRDefault="006205FA">
      <w:r w:rsidRPr="006205FA">
        <w:t>Encontrarás Green Explosion en tu growshop de confianza en el siguiente formato: 250mL.</w:t>
      </w:r>
    </w:p>
    <w:p w14:paraId="7ADA2D43" w14:textId="026308E3" w:rsidR="00E61204" w:rsidRDefault="00026EEA">
      <w:r>
        <w:rPr>
          <w:b/>
          <w:bCs/>
        </w:rPr>
        <w:t>COMPOSICIÓN</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03"/>
        <w:gridCol w:w="1047"/>
      </w:tblGrid>
      <w:tr w:rsidR="0070169F" w:rsidRPr="0070169F" w14:paraId="63068C45" w14:textId="77777777" w:rsidTr="0070169F">
        <w:tc>
          <w:tcPr>
            <w:tcW w:w="0" w:type="auto"/>
            <w:shd w:val="clear" w:color="auto" w:fill="FFFFFF"/>
            <w:vAlign w:val="center"/>
            <w:hideMark/>
          </w:tcPr>
          <w:p w14:paraId="497EADD3" w14:textId="77777777" w:rsidR="0070169F" w:rsidRPr="0070169F" w:rsidRDefault="0070169F" w:rsidP="0070169F">
            <w:r w:rsidRPr="0070169F">
              <w:t>Riquezas garantizadas </w:t>
            </w:r>
          </w:p>
        </w:tc>
        <w:tc>
          <w:tcPr>
            <w:tcW w:w="0" w:type="auto"/>
            <w:shd w:val="clear" w:color="auto" w:fill="FFFFFF"/>
            <w:vAlign w:val="center"/>
            <w:hideMark/>
          </w:tcPr>
          <w:p w14:paraId="1BDF5D2F" w14:textId="77777777" w:rsidR="0070169F" w:rsidRPr="0070169F" w:rsidRDefault="0070169F" w:rsidP="0070169F">
            <w:r w:rsidRPr="0070169F">
              <w:t>p/p</w:t>
            </w:r>
          </w:p>
        </w:tc>
      </w:tr>
      <w:tr w:rsidR="0070169F" w:rsidRPr="0070169F" w14:paraId="0432C622" w14:textId="77777777" w:rsidTr="0070169F">
        <w:tc>
          <w:tcPr>
            <w:tcW w:w="0" w:type="auto"/>
            <w:shd w:val="clear" w:color="auto" w:fill="FFFFFF"/>
            <w:vAlign w:val="center"/>
            <w:hideMark/>
          </w:tcPr>
          <w:p w14:paraId="0D4015C0" w14:textId="77777777" w:rsidR="0070169F" w:rsidRPr="0070169F" w:rsidRDefault="0070169F" w:rsidP="0070169F">
            <w:r w:rsidRPr="0070169F">
              <w:t>Oxido de potasio (K2O) soluble en agua:</w:t>
            </w:r>
          </w:p>
        </w:tc>
        <w:tc>
          <w:tcPr>
            <w:tcW w:w="0" w:type="auto"/>
            <w:shd w:val="clear" w:color="auto" w:fill="FFFFFF"/>
            <w:vAlign w:val="center"/>
            <w:hideMark/>
          </w:tcPr>
          <w:p w14:paraId="6E8F22B1" w14:textId="77777777" w:rsidR="0070169F" w:rsidRPr="0070169F" w:rsidRDefault="0070169F" w:rsidP="0070169F">
            <w:r w:rsidRPr="0070169F">
              <w:t>2.5% </w:t>
            </w:r>
          </w:p>
        </w:tc>
      </w:tr>
      <w:tr w:rsidR="0070169F" w:rsidRPr="0070169F" w14:paraId="263B88A3" w14:textId="77777777" w:rsidTr="0070169F">
        <w:tc>
          <w:tcPr>
            <w:tcW w:w="0" w:type="auto"/>
            <w:shd w:val="clear" w:color="auto" w:fill="FFFFFF"/>
            <w:vAlign w:val="center"/>
            <w:hideMark/>
          </w:tcPr>
          <w:p w14:paraId="2AE7B422" w14:textId="77777777" w:rsidR="0070169F" w:rsidRPr="0070169F" w:rsidRDefault="0070169F" w:rsidP="0070169F">
            <w:r w:rsidRPr="0070169F">
              <w:t>Ácido algínico:</w:t>
            </w:r>
          </w:p>
        </w:tc>
        <w:tc>
          <w:tcPr>
            <w:tcW w:w="0" w:type="auto"/>
            <w:shd w:val="clear" w:color="auto" w:fill="FFFFFF"/>
            <w:vAlign w:val="center"/>
            <w:hideMark/>
          </w:tcPr>
          <w:p w14:paraId="15F65585" w14:textId="77777777" w:rsidR="0070169F" w:rsidRPr="0070169F" w:rsidRDefault="0070169F" w:rsidP="0070169F">
            <w:r w:rsidRPr="0070169F">
              <w:t>1.7% </w:t>
            </w:r>
          </w:p>
        </w:tc>
      </w:tr>
      <w:tr w:rsidR="0070169F" w:rsidRPr="0070169F" w14:paraId="6616D161" w14:textId="77777777" w:rsidTr="0070169F">
        <w:tc>
          <w:tcPr>
            <w:tcW w:w="0" w:type="auto"/>
            <w:shd w:val="clear" w:color="auto" w:fill="FFFFFF"/>
            <w:vAlign w:val="center"/>
            <w:hideMark/>
          </w:tcPr>
          <w:p w14:paraId="54F5AD54" w14:textId="77777777" w:rsidR="0070169F" w:rsidRPr="0070169F" w:rsidRDefault="0070169F" w:rsidP="0070169F">
            <w:r w:rsidRPr="0070169F">
              <w:t>Manitol:</w:t>
            </w:r>
          </w:p>
        </w:tc>
        <w:tc>
          <w:tcPr>
            <w:tcW w:w="0" w:type="auto"/>
            <w:shd w:val="clear" w:color="auto" w:fill="FFFFFF"/>
            <w:vAlign w:val="center"/>
            <w:hideMark/>
          </w:tcPr>
          <w:p w14:paraId="700760BB" w14:textId="77777777" w:rsidR="0070169F" w:rsidRPr="0070169F" w:rsidRDefault="0070169F" w:rsidP="0070169F">
            <w:r w:rsidRPr="0070169F">
              <w:t>0.5%</w:t>
            </w:r>
          </w:p>
        </w:tc>
      </w:tr>
      <w:tr w:rsidR="0070169F" w:rsidRPr="0070169F" w14:paraId="563E1DE6" w14:textId="77777777" w:rsidTr="0070169F">
        <w:tc>
          <w:tcPr>
            <w:tcW w:w="0" w:type="auto"/>
            <w:shd w:val="clear" w:color="auto" w:fill="FFFFFF"/>
            <w:vAlign w:val="center"/>
            <w:hideMark/>
          </w:tcPr>
          <w:p w14:paraId="146B625D" w14:textId="77777777" w:rsidR="0070169F" w:rsidRPr="0070169F" w:rsidRDefault="0070169F" w:rsidP="0070169F">
            <w:r w:rsidRPr="0070169F">
              <w:t>pH:</w:t>
            </w:r>
          </w:p>
        </w:tc>
        <w:tc>
          <w:tcPr>
            <w:tcW w:w="0" w:type="auto"/>
            <w:shd w:val="clear" w:color="auto" w:fill="FFFFFF"/>
            <w:vAlign w:val="center"/>
            <w:hideMark/>
          </w:tcPr>
          <w:p w14:paraId="76A94161" w14:textId="77777777" w:rsidR="0070169F" w:rsidRPr="0070169F" w:rsidRDefault="0070169F" w:rsidP="0070169F">
            <w:r w:rsidRPr="0070169F">
              <w:t>9.6 </w:t>
            </w:r>
          </w:p>
        </w:tc>
      </w:tr>
      <w:tr w:rsidR="0070169F" w:rsidRPr="0070169F" w14:paraId="04D9F696" w14:textId="77777777" w:rsidTr="0070169F">
        <w:tc>
          <w:tcPr>
            <w:tcW w:w="0" w:type="auto"/>
            <w:shd w:val="clear" w:color="auto" w:fill="FFFFFF"/>
            <w:vAlign w:val="center"/>
            <w:hideMark/>
          </w:tcPr>
          <w:p w14:paraId="280DDD8B" w14:textId="77777777" w:rsidR="0070169F" w:rsidRPr="0070169F" w:rsidRDefault="0070169F" w:rsidP="0070169F">
            <w:r w:rsidRPr="0070169F">
              <w:t>Conductividad eléctrica:</w:t>
            </w:r>
          </w:p>
        </w:tc>
        <w:tc>
          <w:tcPr>
            <w:tcW w:w="0" w:type="auto"/>
            <w:shd w:val="clear" w:color="auto" w:fill="FFFFFF"/>
            <w:vAlign w:val="center"/>
            <w:hideMark/>
          </w:tcPr>
          <w:p w14:paraId="36F8E0EF" w14:textId="77777777" w:rsidR="0070169F" w:rsidRPr="0070169F" w:rsidRDefault="0070169F" w:rsidP="0070169F">
            <w:r w:rsidRPr="0070169F">
              <w:t> 49.0 dS/m </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15A73"/>
    <w:multiLevelType w:val="multilevel"/>
    <w:tmpl w:val="7114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526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31568E"/>
    <w:rsid w:val="004E40CD"/>
    <w:rsid w:val="006205FA"/>
    <w:rsid w:val="0070169F"/>
    <w:rsid w:val="00BB475E"/>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238976973">
      <w:bodyDiv w:val="1"/>
      <w:marLeft w:val="0"/>
      <w:marRight w:val="0"/>
      <w:marTop w:val="0"/>
      <w:marBottom w:val="0"/>
      <w:divBdr>
        <w:top w:val="none" w:sz="0" w:space="0" w:color="auto"/>
        <w:left w:val="none" w:sz="0" w:space="0" w:color="auto"/>
        <w:bottom w:val="none" w:sz="0" w:space="0" w:color="auto"/>
        <w:right w:val="none" w:sz="0" w:space="0" w:color="auto"/>
      </w:divBdr>
    </w:div>
    <w:div w:id="1413240946">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546525062">
      <w:bodyDiv w:val="1"/>
      <w:marLeft w:val="0"/>
      <w:marRight w:val="0"/>
      <w:marTop w:val="0"/>
      <w:marBottom w:val="0"/>
      <w:divBdr>
        <w:top w:val="none" w:sz="0" w:space="0" w:color="auto"/>
        <w:left w:val="none" w:sz="0" w:space="0" w:color="auto"/>
        <w:bottom w:val="none" w:sz="0" w:space="0" w:color="auto"/>
        <w:right w:val="none" w:sz="0" w:space="0" w:color="auto"/>
      </w:divBdr>
    </w:div>
    <w:div w:id="1620448566">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4676115">
      <w:bodyDiv w:val="1"/>
      <w:marLeft w:val="0"/>
      <w:marRight w:val="0"/>
      <w:marTop w:val="0"/>
      <w:marBottom w:val="0"/>
      <w:divBdr>
        <w:top w:val="none" w:sz="0" w:space="0" w:color="auto"/>
        <w:left w:val="none" w:sz="0" w:space="0" w:color="auto"/>
        <w:bottom w:val="none" w:sz="0" w:space="0" w:color="auto"/>
        <w:right w:val="none" w:sz="0" w:space="0" w:color="auto"/>
      </w:divBdr>
    </w:div>
    <w:div w:id="170285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opcropfert.com/download/es/tabla_ES.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307</Words>
  <Characters>1689</Characters>
  <Application>Microsoft Office Word</Application>
  <DocSecurity>0</DocSecurity>
  <Lines>14</Lines>
  <Paragraphs>3</Paragraphs>
  <ScaleCrop>false</ScaleCrop>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10</cp:revision>
  <dcterms:created xsi:type="dcterms:W3CDTF">2022-11-07T15:25:00Z</dcterms:created>
  <dcterms:modified xsi:type="dcterms:W3CDTF">2022-11-22T12:50:00Z</dcterms:modified>
</cp:coreProperties>
</file>