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E3567E2" w:rsidR="00026EEA" w:rsidRPr="00026EEA" w:rsidRDefault="00026EEA" w:rsidP="00026EEA">
      <w:r>
        <w:rPr>
          <w:b/>
          <w:bCs/>
        </w:rPr>
        <w:t>DESCRIP</w:t>
      </w:r>
      <w:r w:rsidR="00926239">
        <w:rPr>
          <w:b/>
          <w:bCs/>
        </w:rPr>
        <w:t>TION</w:t>
      </w:r>
    </w:p>
    <w:p w14:paraId="7AF96BE6" w14:textId="77777777" w:rsidR="00CE4D1E" w:rsidRPr="00CE4D1E" w:rsidRDefault="00CE4D1E" w:rsidP="00CE4D1E">
      <w:r w:rsidRPr="00CE4D1E">
        <w:rPr>
          <w:b/>
          <w:bCs/>
        </w:rPr>
        <w:t>CalMag</w:t>
      </w:r>
      <w:r w:rsidRPr="00CE4D1E">
        <w:t> by </w:t>
      </w:r>
      <w:r w:rsidRPr="00CE4D1E">
        <w:rPr>
          <w:b/>
          <w:bCs/>
        </w:rPr>
        <w:t>Top Crop</w:t>
      </w:r>
      <w:r w:rsidRPr="00CE4D1E">
        <w:t> is a concentrated liquid solution effectively formulated to condition osmosis water and soft water, and to prevent calcium and magnesium deficiencies in the preparation of nutrient solutions. It is a nitrogen fertilizer that contains the necessary secondary nutrients calcium and magnesium to be supplied continuously throughout the plant's cycle.</w:t>
      </w:r>
    </w:p>
    <w:p w14:paraId="4DAD5EC6" w14:textId="77777777" w:rsidR="00CE4D1E" w:rsidRPr="00CE4D1E" w:rsidRDefault="00CE4D1E" w:rsidP="00CE4D1E">
      <w:r w:rsidRPr="00CE4D1E">
        <w:rPr>
          <w:b/>
          <w:bCs/>
        </w:rPr>
        <w:t>HOW TO USE CALMAG FROM TOP CROP</w:t>
      </w:r>
    </w:p>
    <w:p w14:paraId="0F19B477" w14:textId="77777777" w:rsidR="00CE4D1E" w:rsidRPr="00CE4D1E" w:rsidRDefault="00CE4D1E" w:rsidP="00CE4D1E">
      <w:r w:rsidRPr="00CE4D1E">
        <w:t>To condition osmosis water or soft water, add 0.2-1 mL CalMag / 1L of water until you reach the desired EC. Then complete the irrigation solution with the remaining nutrients. Suitable for application throughout the entire plant cycle in soil, substrate, hydroponics and foliar nutrition.</w:t>
      </w:r>
    </w:p>
    <w:p w14:paraId="682CE73C" w14:textId="77777777" w:rsidR="00CE4D1E" w:rsidRPr="00CE4D1E" w:rsidRDefault="00CE4D1E" w:rsidP="00CE4D1E">
      <w:r w:rsidRPr="00CE4D1E">
        <w:t>You can also use CalMag as a supplement to prevent deficiencies. The application rate to prepare the nutrient solution should take into account the existence of other sources of calcium and magnesium, such as those coming from the soil or from the starting water. Indicative dosage: 0.1-1 mL / Litre of nutrient solution.</w:t>
      </w:r>
    </w:p>
    <w:p w14:paraId="1DAFD6DE" w14:textId="77777777" w:rsidR="00CE4D1E" w:rsidRPr="00CE4D1E" w:rsidRDefault="00CE4D1E" w:rsidP="00CE4D1E">
      <w:r w:rsidRPr="00CE4D1E">
        <w:rPr>
          <w:b/>
          <w:bCs/>
        </w:rPr>
        <w:t>TIPS</w:t>
      </w:r>
    </w:p>
    <w:p w14:paraId="7DD2D5F7" w14:textId="77777777" w:rsidR="00CE4D1E" w:rsidRPr="00CE4D1E" w:rsidRDefault="00CE4D1E" w:rsidP="00CE4D1E">
      <w:r w:rsidRPr="00CE4D1E">
        <w:t>Store in a cool and dry place. Avoid extreme temperatures. Keep out of direct sunlight. Shake the product well before use.</w:t>
      </w:r>
      <w:r w:rsidRPr="00CE4D1E">
        <w:br/>
        <w:t>- Do not eat, drink or smoke while using.</w:t>
      </w:r>
      <w:r w:rsidRPr="00CE4D1E">
        <w:br/>
        <w:t>- Keep out of the reach of children.</w:t>
      </w:r>
    </w:p>
    <w:p w14:paraId="1C676456" w14:textId="77777777" w:rsidR="00CE4D1E" w:rsidRPr="00CE4D1E" w:rsidRDefault="00CE4D1E" w:rsidP="00CE4D1E">
      <w:r w:rsidRPr="00CE4D1E">
        <w:rPr>
          <w:b/>
          <w:bCs/>
        </w:rPr>
        <w:t>FORMATS</w:t>
      </w:r>
    </w:p>
    <w:p w14:paraId="07A32858" w14:textId="0BEBBCB0" w:rsidR="00CE4D1E" w:rsidRPr="00CE4D1E" w:rsidRDefault="00CE4D1E">
      <w:r w:rsidRPr="00CE4D1E">
        <w:t>You’ll find CalMag at your favourite growshop in 1L.</w:t>
      </w:r>
    </w:p>
    <w:p w14:paraId="7ADA2D43" w14:textId="539EA169" w:rsidR="00E61204" w:rsidRDefault="000E522E">
      <w:r>
        <w:rPr>
          <w:b/>
          <w:bCs/>
        </w:rPr>
        <w:t>C</w:t>
      </w:r>
      <w:r w:rsidR="00026EEA">
        <w:rPr>
          <w:b/>
          <w:bCs/>
        </w:rPr>
        <w:t>OMPOSI</w:t>
      </w:r>
      <w:r w:rsidR="00926239">
        <w:rPr>
          <w:b/>
          <w:bCs/>
        </w:rPr>
        <w:t>TION</w:t>
      </w:r>
    </w:p>
    <w:p w14:paraId="745AD28E" w14:textId="77777777" w:rsidR="00AE4DB9" w:rsidRPr="00AE4DB9" w:rsidRDefault="00AE4DB9" w:rsidP="00AE4DB9">
      <w:r w:rsidRPr="00AE4DB9">
        <w:t>GUARANTEED PURITY % (w/w)</w:t>
      </w:r>
    </w:p>
    <w:tbl>
      <w:tblPr>
        <w:tblW w:w="5610" w:type="dxa"/>
        <w:shd w:val="clear" w:color="auto" w:fill="FFFFFF"/>
        <w:tblCellMar>
          <w:top w:w="15" w:type="dxa"/>
          <w:left w:w="15" w:type="dxa"/>
          <w:bottom w:w="15" w:type="dxa"/>
          <w:right w:w="15" w:type="dxa"/>
        </w:tblCellMar>
        <w:tblLook w:val="04A0" w:firstRow="1" w:lastRow="0" w:firstColumn="1" w:lastColumn="0" w:noHBand="0" w:noVBand="1"/>
      </w:tblPr>
      <w:tblGrid>
        <w:gridCol w:w="4898"/>
        <w:gridCol w:w="712"/>
      </w:tblGrid>
      <w:tr w:rsidR="00AE4DB9" w:rsidRPr="00AE4DB9" w14:paraId="388A3683" w14:textId="77777777" w:rsidTr="00AE4DB9">
        <w:tc>
          <w:tcPr>
            <w:tcW w:w="0" w:type="auto"/>
            <w:shd w:val="clear" w:color="auto" w:fill="FFFFFF"/>
            <w:vAlign w:val="center"/>
            <w:hideMark/>
          </w:tcPr>
          <w:p w14:paraId="5B4C9037" w14:textId="77777777" w:rsidR="00AE4DB9" w:rsidRPr="00AE4DB9" w:rsidRDefault="00AE4DB9" w:rsidP="00AE4DB9">
            <w:r w:rsidRPr="00AE4DB9">
              <w:t>Component</w:t>
            </w:r>
          </w:p>
        </w:tc>
        <w:tc>
          <w:tcPr>
            <w:tcW w:w="0" w:type="auto"/>
            <w:shd w:val="clear" w:color="auto" w:fill="FFFFFF"/>
            <w:vAlign w:val="center"/>
            <w:hideMark/>
          </w:tcPr>
          <w:p w14:paraId="234566EC" w14:textId="77777777" w:rsidR="00AE4DB9" w:rsidRPr="00AE4DB9" w:rsidRDefault="00AE4DB9" w:rsidP="00AE4DB9">
            <w:r w:rsidRPr="00AE4DB9">
              <w:t>%</w:t>
            </w:r>
          </w:p>
        </w:tc>
      </w:tr>
      <w:tr w:rsidR="00AE4DB9" w:rsidRPr="00AE4DB9" w14:paraId="1C7976B8" w14:textId="77777777" w:rsidTr="00AE4DB9">
        <w:tc>
          <w:tcPr>
            <w:tcW w:w="0" w:type="auto"/>
            <w:shd w:val="clear" w:color="auto" w:fill="FFFFFF"/>
            <w:vAlign w:val="center"/>
            <w:hideMark/>
          </w:tcPr>
          <w:p w14:paraId="295A2412" w14:textId="77777777" w:rsidR="00AE4DB9" w:rsidRPr="00AE4DB9" w:rsidRDefault="00AE4DB9" w:rsidP="00AE4DB9">
            <w:proofErr w:type="gramStart"/>
            <w:r w:rsidRPr="00AE4DB9">
              <w:t>Total</w:t>
            </w:r>
            <w:proofErr w:type="gramEnd"/>
            <w:r w:rsidRPr="00AE4DB9">
              <w:t xml:space="preserve"> nitrogen (N)</w:t>
            </w:r>
          </w:p>
        </w:tc>
        <w:tc>
          <w:tcPr>
            <w:tcW w:w="0" w:type="auto"/>
            <w:shd w:val="clear" w:color="auto" w:fill="FFFFFF"/>
            <w:vAlign w:val="center"/>
            <w:hideMark/>
          </w:tcPr>
          <w:p w14:paraId="02269046" w14:textId="77777777" w:rsidR="00AE4DB9" w:rsidRPr="00AE4DB9" w:rsidRDefault="00AE4DB9" w:rsidP="00AE4DB9">
            <w:r w:rsidRPr="00AE4DB9">
              <w:t>6.6%</w:t>
            </w:r>
          </w:p>
        </w:tc>
      </w:tr>
      <w:tr w:rsidR="00AE4DB9" w:rsidRPr="00AE4DB9" w14:paraId="3361DCDA" w14:textId="77777777" w:rsidTr="00AE4DB9">
        <w:tc>
          <w:tcPr>
            <w:tcW w:w="0" w:type="auto"/>
            <w:shd w:val="clear" w:color="auto" w:fill="FFFFFF"/>
            <w:vAlign w:val="center"/>
            <w:hideMark/>
          </w:tcPr>
          <w:p w14:paraId="7ACC278A" w14:textId="77777777" w:rsidR="00AE4DB9" w:rsidRPr="00AE4DB9" w:rsidRDefault="00AE4DB9" w:rsidP="00AE4DB9">
            <w:r w:rsidRPr="00AE4DB9">
              <w:t>Nitric Nitrogen (N)</w:t>
            </w:r>
          </w:p>
        </w:tc>
        <w:tc>
          <w:tcPr>
            <w:tcW w:w="0" w:type="auto"/>
            <w:shd w:val="clear" w:color="auto" w:fill="FFFFFF"/>
            <w:vAlign w:val="center"/>
            <w:hideMark/>
          </w:tcPr>
          <w:p w14:paraId="0515E0E8" w14:textId="77777777" w:rsidR="00AE4DB9" w:rsidRPr="00AE4DB9" w:rsidRDefault="00AE4DB9" w:rsidP="00AE4DB9">
            <w:r w:rsidRPr="00AE4DB9">
              <w:t>5.6 %</w:t>
            </w:r>
          </w:p>
        </w:tc>
      </w:tr>
      <w:tr w:rsidR="00AE4DB9" w:rsidRPr="00AE4DB9" w14:paraId="14D1502E" w14:textId="77777777" w:rsidTr="00AE4DB9">
        <w:tc>
          <w:tcPr>
            <w:tcW w:w="0" w:type="auto"/>
            <w:shd w:val="clear" w:color="auto" w:fill="FFFFFF"/>
            <w:vAlign w:val="center"/>
            <w:hideMark/>
          </w:tcPr>
          <w:p w14:paraId="4C62765B" w14:textId="77777777" w:rsidR="00AE4DB9" w:rsidRPr="00AE4DB9" w:rsidRDefault="00AE4DB9" w:rsidP="00AE4DB9">
            <w:r w:rsidRPr="00AE4DB9">
              <w:t>Ureic nitrogen (N)</w:t>
            </w:r>
          </w:p>
        </w:tc>
        <w:tc>
          <w:tcPr>
            <w:tcW w:w="0" w:type="auto"/>
            <w:shd w:val="clear" w:color="auto" w:fill="FFFFFF"/>
            <w:vAlign w:val="center"/>
            <w:hideMark/>
          </w:tcPr>
          <w:p w14:paraId="78634EC2" w14:textId="77777777" w:rsidR="00AE4DB9" w:rsidRPr="00AE4DB9" w:rsidRDefault="00AE4DB9" w:rsidP="00AE4DB9">
            <w:r w:rsidRPr="00AE4DB9">
              <w:t>0.8 %</w:t>
            </w:r>
          </w:p>
        </w:tc>
      </w:tr>
      <w:tr w:rsidR="00AE4DB9" w:rsidRPr="00AE4DB9" w14:paraId="10FBC4B2" w14:textId="77777777" w:rsidTr="00AE4DB9">
        <w:tc>
          <w:tcPr>
            <w:tcW w:w="0" w:type="auto"/>
            <w:shd w:val="clear" w:color="auto" w:fill="FFFFFF"/>
            <w:vAlign w:val="center"/>
            <w:hideMark/>
          </w:tcPr>
          <w:p w14:paraId="3CFDB72C" w14:textId="77777777" w:rsidR="00AE4DB9" w:rsidRPr="00AE4DB9" w:rsidRDefault="00AE4DB9" w:rsidP="00AE4DB9">
            <w:r w:rsidRPr="00AE4DB9">
              <w:t>Water-soluble calcium oxide (CaO)</w:t>
            </w:r>
          </w:p>
        </w:tc>
        <w:tc>
          <w:tcPr>
            <w:tcW w:w="0" w:type="auto"/>
            <w:shd w:val="clear" w:color="auto" w:fill="FFFFFF"/>
            <w:vAlign w:val="center"/>
            <w:hideMark/>
          </w:tcPr>
          <w:p w14:paraId="6C68F13E" w14:textId="77777777" w:rsidR="00AE4DB9" w:rsidRPr="00AE4DB9" w:rsidRDefault="00AE4DB9" w:rsidP="00AE4DB9">
            <w:r w:rsidRPr="00AE4DB9">
              <w:t>6.7%</w:t>
            </w:r>
          </w:p>
        </w:tc>
      </w:tr>
      <w:tr w:rsidR="00AE4DB9" w:rsidRPr="00AE4DB9" w14:paraId="1A7E98A0" w14:textId="77777777" w:rsidTr="00AE4DB9">
        <w:tc>
          <w:tcPr>
            <w:tcW w:w="0" w:type="auto"/>
            <w:shd w:val="clear" w:color="auto" w:fill="FFFFFF"/>
            <w:vAlign w:val="center"/>
            <w:hideMark/>
          </w:tcPr>
          <w:p w14:paraId="25B5AD2B" w14:textId="77777777" w:rsidR="00AE4DB9" w:rsidRPr="00AE4DB9" w:rsidRDefault="00AE4DB9" w:rsidP="00AE4DB9">
            <w:r w:rsidRPr="00AE4DB9">
              <w:t>Water-soluble magnesium oxide (MgO)</w:t>
            </w:r>
          </w:p>
        </w:tc>
        <w:tc>
          <w:tcPr>
            <w:tcW w:w="0" w:type="auto"/>
            <w:shd w:val="clear" w:color="auto" w:fill="FFFFFF"/>
            <w:vAlign w:val="center"/>
            <w:hideMark/>
          </w:tcPr>
          <w:p w14:paraId="45C10F8E" w14:textId="77777777" w:rsidR="00AE4DB9" w:rsidRPr="00AE4DB9" w:rsidRDefault="00AE4DB9" w:rsidP="00AE4DB9">
            <w:r w:rsidRPr="00AE4DB9">
              <w:t>2.4%</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0E522E"/>
    <w:rsid w:val="00926239"/>
    <w:rsid w:val="00AE4DB9"/>
    <w:rsid w:val="00CE4D1E"/>
    <w:rsid w:val="00E02A04"/>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778378547">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260062411">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 w:id="214665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231</Words>
  <Characters>1271</Characters>
  <Application>Microsoft Office Word</Application>
  <DocSecurity>0</DocSecurity>
  <Lines>10</Lines>
  <Paragraphs>2</Paragraphs>
  <ScaleCrop>false</ScaleCrop>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10</cp:revision>
  <dcterms:created xsi:type="dcterms:W3CDTF">2022-11-07T15:25:00Z</dcterms:created>
  <dcterms:modified xsi:type="dcterms:W3CDTF">2022-11-22T12:59:00Z</dcterms:modified>
</cp:coreProperties>
</file>