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17EC25C1" w14:textId="77777777" w:rsidR="009F0251" w:rsidRPr="009F0251" w:rsidRDefault="009F0251" w:rsidP="009F0251">
      <w:r w:rsidRPr="009F0251">
        <w:rPr>
          <w:b/>
          <w:bCs/>
        </w:rPr>
        <w:t>Deeper Underground</w:t>
      </w:r>
      <w:r w:rsidRPr="009F0251">
        <w:t> de </w:t>
      </w:r>
      <w:r w:rsidRPr="009F0251">
        <w:rPr>
          <w:b/>
          <w:bCs/>
        </w:rPr>
        <w:t>Top Crop</w:t>
      </w:r>
      <w:r w:rsidRPr="009F0251">
        <w:t> es un fertilizante líquido formulado para la estimulación del crecimiento y del desarrollo de las raíces de las plantas. Con el uso de Deeper Underground, una vez por semana como mínimo según riegos, aumentarás notablemente el número de pelos radiculares. Al igual que muchos más beneficios que te explicamos a continuación.</w:t>
      </w:r>
    </w:p>
    <w:p w14:paraId="59710F50" w14:textId="77777777" w:rsidR="009F0251" w:rsidRPr="009F0251" w:rsidRDefault="009F0251" w:rsidP="009F0251">
      <w:r w:rsidRPr="009F0251">
        <w:t>La composición de Deeper Underground permite su uso desde los primeros días de vida desde que es una plántula con resultados casi inmediatos.</w:t>
      </w:r>
    </w:p>
    <w:p w14:paraId="616564B9" w14:textId="77777777" w:rsidR="009F0251" w:rsidRPr="009F0251" w:rsidRDefault="009F0251" w:rsidP="009F0251">
      <w:r w:rsidRPr="009F0251">
        <w:rPr>
          <w:b/>
          <w:bCs/>
        </w:rPr>
        <w:t>CÓMO USAR DEEPER UNDERGROUND DE TOP CROP</w:t>
      </w:r>
    </w:p>
    <w:p w14:paraId="09D6064B" w14:textId="77777777" w:rsidR="009F0251" w:rsidRPr="009F0251" w:rsidRDefault="009F0251" w:rsidP="009F0251">
      <w:r w:rsidRPr="009F0251">
        <w:t>Empieza siempre por la dosis mínima que se indica en la etiqueta del producto. En este caso, la dosis inicial es 1ml por 1L de agua, únicamente se debe usar Deeper Underground de Top Crop por irrigación.</w:t>
      </w:r>
    </w:p>
    <w:p w14:paraId="72BC3319" w14:textId="77777777" w:rsidR="009F0251" w:rsidRPr="009F0251" w:rsidRDefault="009F0251" w:rsidP="009F0251">
      <w:r w:rsidRPr="009F0251">
        <w:t>En el siguiente riego podrás aumentar la dosis, hasta los 2ml por 1L de agua. Siempre observa cómo tus plantas asimilan los nutrientes para considerar si es necesario subir a la dosis final (2ml). Consulta </w:t>
      </w:r>
      <w:hyperlink r:id="rId5" w:history="1">
        <w:r w:rsidRPr="009F0251">
          <w:rPr>
            <w:rStyle w:val="Hipervnculo"/>
          </w:rPr>
          <w:t>la tabla de cultivo de Top Crop</w:t>
        </w:r>
      </w:hyperlink>
      <w:r w:rsidRPr="009F0251">
        <w:t> para orientarte en las aplicaciones de cada producto.</w:t>
      </w:r>
    </w:p>
    <w:p w14:paraId="39014DB4" w14:textId="77777777" w:rsidR="009F0251" w:rsidRPr="009F0251" w:rsidRDefault="009F0251" w:rsidP="009F0251">
      <w:r w:rsidRPr="009F0251">
        <w:t>Deeper Underground de Top Crop reduce el estrés que padece la planta tras someterse a un trasplante, al igual que revitalizará las raíces dañadas durante este proceso. También elevará el contenido orgánico del terreno, mejorando la aireación del mismo. Recuerda que puedes ampliar su aplicación hasta principios de la floración.</w:t>
      </w:r>
    </w:p>
    <w:p w14:paraId="020EC38B" w14:textId="77777777" w:rsidR="009F0251" w:rsidRPr="009F0251" w:rsidRDefault="009F0251" w:rsidP="009F0251">
      <w:r w:rsidRPr="009F0251">
        <w:rPr>
          <w:b/>
          <w:bCs/>
        </w:rPr>
        <w:t>CONSEJOS</w:t>
      </w:r>
    </w:p>
    <w:p w14:paraId="0B70541C" w14:textId="77777777" w:rsidR="009F0251" w:rsidRPr="009F0251" w:rsidRDefault="009F0251" w:rsidP="009F0251">
      <w:r w:rsidRPr="009F0251">
        <w:t>Puedes combinar el uso de Deeper Underground con otros fertilizantes de Top Crop destinados a la fase de crecimiento y/o a las raíces, como puede ser </w:t>
      </w:r>
      <w:hyperlink r:id="rId6" w:history="1">
        <w:r w:rsidRPr="009F0251">
          <w:rPr>
            <w:rStyle w:val="Hipervnculo"/>
          </w:rPr>
          <w:t>Micro Vita</w:t>
        </w:r>
      </w:hyperlink>
      <w:r w:rsidRPr="009F0251">
        <w:t>.</w:t>
      </w:r>
    </w:p>
    <w:p w14:paraId="6F577AE2" w14:textId="77777777" w:rsidR="009F0251" w:rsidRPr="009F0251" w:rsidRDefault="009F0251" w:rsidP="009F0251">
      <w:r w:rsidRPr="009F0251">
        <w:t>Agita bien el producto antes de cada uso. Te recomendamos que guardes este fertilizante en un lugar seco, evitando su exposición a la luz solar. Conservándolo así mantendrás la calidad del producto.</w:t>
      </w:r>
    </w:p>
    <w:p w14:paraId="0A12103B" w14:textId="77777777" w:rsidR="009F0251" w:rsidRPr="009F0251" w:rsidRDefault="009F0251" w:rsidP="009F0251">
      <w:r w:rsidRPr="009F0251">
        <w:rPr>
          <w:b/>
          <w:bCs/>
        </w:rPr>
        <w:t>FORMATOS</w:t>
      </w:r>
    </w:p>
    <w:p w14:paraId="0A237678" w14:textId="400FD983" w:rsidR="009F0251" w:rsidRPr="009F0251" w:rsidRDefault="009F0251">
      <w:r w:rsidRPr="009F0251">
        <w:t>Encontrarás Deeper Underground en tu growshop de confianza en los siguientes formatos: 250mL, 1L y 5L.</w:t>
      </w:r>
    </w:p>
    <w:p w14:paraId="7ADA2D43" w14:textId="58B09A7C" w:rsidR="00E61204" w:rsidRDefault="00026EEA">
      <w:r>
        <w:rPr>
          <w:b/>
          <w:bCs/>
        </w:rPr>
        <w:t>COMPOSICIÓN</w:t>
      </w:r>
    </w:p>
    <w:p w14:paraId="3434B20B" w14:textId="77777777" w:rsidR="003A4474" w:rsidRPr="003A4474" w:rsidRDefault="003A4474" w:rsidP="003A4474">
      <w:r w:rsidRPr="003A4474">
        <w:t>Contiene micro elementos, tales como: Boro (B), Cobre (Cu), Hierro (Fe), Manganeso (Mn) y Zinc (Zn).</w:t>
      </w:r>
    </w:p>
    <w:p w14:paraId="649F2F87" w14:textId="77777777" w:rsidR="003A4474" w:rsidRPr="003A4474" w:rsidRDefault="003A4474" w:rsidP="003A4474">
      <w:r w:rsidRPr="003A4474">
        <w:t>Riquezas garantizadas P/P</w:t>
      </w:r>
    </w:p>
    <w:tbl>
      <w:tblPr>
        <w:tblW w:w="6960" w:type="dxa"/>
        <w:shd w:val="clear" w:color="auto" w:fill="FFFFFF"/>
        <w:tblCellMar>
          <w:top w:w="15" w:type="dxa"/>
          <w:left w:w="15" w:type="dxa"/>
          <w:bottom w:w="15" w:type="dxa"/>
          <w:right w:w="15" w:type="dxa"/>
        </w:tblCellMar>
        <w:tblLook w:val="04A0" w:firstRow="1" w:lastRow="0" w:firstColumn="1" w:lastColumn="0" w:noHBand="0" w:noVBand="1"/>
      </w:tblPr>
      <w:tblGrid>
        <w:gridCol w:w="6304"/>
        <w:gridCol w:w="656"/>
      </w:tblGrid>
      <w:tr w:rsidR="003A4474" w:rsidRPr="003A4474" w14:paraId="24020C31" w14:textId="77777777" w:rsidTr="003A4474">
        <w:tc>
          <w:tcPr>
            <w:tcW w:w="0" w:type="auto"/>
            <w:shd w:val="clear" w:color="auto" w:fill="FFFFFF"/>
            <w:vAlign w:val="center"/>
            <w:hideMark/>
          </w:tcPr>
          <w:p w14:paraId="49EF3E96" w14:textId="77777777" w:rsidR="003A4474" w:rsidRPr="003A4474" w:rsidRDefault="003A4474" w:rsidP="003A4474">
            <w:r w:rsidRPr="003A4474">
              <w:t>Óxido de magnesio (MgO) soluble en agua:</w:t>
            </w:r>
          </w:p>
        </w:tc>
        <w:tc>
          <w:tcPr>
            <w:tcW w:w="0" w:type="auto"/>
            <w:shd w:val="clear" w:color="auto" w:fill="FFFFFF"/>
            <w:vAlign w:val="center"/>
            <w:hideMark/>
          </w:tcPr>
          <w:p w14:paraId="7A40D396" w14:textId="77777777" w:rsidR="003A4474" w:rsidRPr="003A4474" w:rsidRDefault="003A4474" w:rsidP="003A4474">
            <w:r w:rsidRPr="003A4474">
              <w:t>1.0 % </w:t>
            </w:r>
          </w:p>
        </w:tc>
      </w:tr>
      <w:tr w:rsidR="003A4474" w:rsidRPr="003A4474" w14:paraId="1FB30A09" w14:textId="77777777" w:rsidTr="003A4474">
        <w:tc>
          <w:tcPr>
            <w:tcW w:w="0" w:type="auto"/>
            <w:shd w:val="clear" w:color="auto" w:fill="FFFFFF"/>
            <w:vAlign w:val="center"/>
            <w:hideMark/>
          </w:tcPr>
          <w:p w14:paraId="7D9A8073" w14:textId="77777777" w:rsidR="003A4474" w:rsidRPr="003A4474" w:rsidRDefault="003A4474" w:rsidP="003A4474">
            <w:r w:rsidRPr="003A4474">
              <w:t>Óxido de magnesio (MgO) quelado por EDTA: </w:t>
            </w:r>
          </w:p>
        </w:tc>
        <w:tc>
          <w:tcPr>
            <w:tcW w:w="0" w:type="auto"/>
            <w:shd w:val="clear" w:color="auto" w:fill="FFFFFF"/>
            <w:vAlign w:val="center"/>
            <w:hideMark/>
          </w:tcPr>
          <w:p w14:paraId="2B3EB503" w14:textId="77777777" w:rsidR="003A4474" w:rsidRPr="003A4474" w:rsidRDefault="003A4474" w:rsidP="003A4474">
            <w:r w:rsidRPr="003A4474">
              <w:t>1.0 % </w:t>
            </w:r>
          </w:p>
        </w:tc>
      </w:tr>
      <w:tr w:rsidR="003A4474" w:rsidRPr="003A4474" w14:paraId="4F3826B4" w14:textId="77777777" w:rsidTr="003A4474">
        <w:tc>
          <w:tcPr>
            <w:tcW w:w="0" w:type="auto"/>
            <w:shd w:val="clear" w:color="auto" w:fill="FFFFFF"/>
            <w:vAlign w:val="center"/>
            <w:hideMark/>
          </w:tcPr>
          <w:p w14:paraId="3294BBDC" w14:textId="77777777" w:rsidR="003A4474" w:rsidRPr="003A4474" w:rsidRDefault="003A4474" w:rsidP="003A4474">
            <w:r w:rsidRPr="003A4474">
              <w:t>Extracto húmico total:</w:t>
            </w:r>
          </w:p>
        </w:tc>
        <w:tc>
          <w:tcPr>
            <w:tcW w:w="0" w:type="auto"/>
            <w:shd w:val="clear" w:color="auto" w:fill="FFFFFF"/>
            <w:vAlign w:val="center"/>
            <w:hideMark/>
          </w:tcPr>
          <w:p w14:paraId="0EF7B06E" w14:textId="77777777" w:rsidR="003A4474" w:rsidRPr="003A4474" w:rsidRDefault="003A4474" w:rsidP="003A4474">
            <w:r w:rsidRPr="003A4474">
              <w:t>7.0% </w:t>
            </w:r>
          </w:p>
        </w:tc>
      </w:tr>
      <w:tr w:rsidR="003A4474" w:rsidRPr="003A4474" w14:paraId="240FBC75" w14:textId="77777777" w:rsidTr="003A4474">
        <w:tc>
          <w:tcPr>
            <w:tcW w:w="0" w:type="auto"/>
            <w:shd w:val="clear" w:color="auto" w:fill="FFFFFF"/>
            <w:vAlign w:val="center"/>
            <w:hideMark/>
          </w:tcPr>
          <w:p w14:paraId="3831B0D1" w14:textId="77777777" w:rsidR="003A4474" w:rsidRPr="003A4474" w:rsidRDefault="003A4474" w:rsidP="003A4474">
            <w:r w:rsidRPr="003A4474">
              <w:t>Ácidos húmicos:</w:t>
            </w:r>
          </w:p>
        </w:tc>
        <w:tc>
          <w:tcPr>
            <w:tcW w:w="0" w:type="auto"/>
            <w:shd w:val="clear" w:color="auto" w:fill="FFFFFF"/>
            <w:vAlign w:val="center"/>
            <w:hideMark/>
          </w:tcPr>
          <w:p w14:paraId="65590B34" w14:textId="77777777" w:rsidR="003A4474" w:rsidRPr="003A4474" w:rsidRDefault="003A4474" w:rsidP="003A4474">
            <w:r w:rsidRPr="003A4474">
              <w:t>4.0% </w:t>
            </w:r>
          </w:p>
        </w:tc>
      </w:tr>
      <w:tr w:rsidR="003A4474" w:rsidRPr="003A4474" w14:paraId="39E5E92B" w14:textId="77777777" w:rsidTr="003A4474">
        <w:tc>
          <w:tcPr>
            <w:tcW w:w="0" w:type="auto"/>
            <w:shd w:val="clear" w:color="auto" w:fill="FFFFFF"/>
            <w:vAlign w:val="center"/>
            <w:hideMark/>
          </w:tcPr>
          <w:p w14:paraId="0ABDA3EE" w14:textId="77777777" w:rsidR="003A4474" w:rsidRPr="003A4474" w:rsidRDefault="003A4474" w:rsidP="003A4474">
            <w:r w:rsidRPr="003A4474">
              <w:lastRenderedPageBreak/>
              <w:t>Ácidos fúlvicos:</w:t>
            </w:r>
          </w:p>
        </w:tc>
        <w:tc>
          <w:tcPr>
            <w:tcW w:w="0" w:type="auto"/>
            <w:shd w:val="clear" w:color="auto" w:fill="FFFFFF"/>
            <w:vAlign w:val="center"/>
            <w:hideMark/>
          </w:tcPr>
          <w:p w14:paraId="2846A99E" w14:textId="77777777" w:rsidR="003A4474" w:rsidRPr="003A4474" w:rsidRDefault="003A4474" w:rsidP="003A4474">
            <w:r w:rsidRPr="003A4474">
              <w:t>3.0% </w:t>
            </w:r>
          </w:p>
        </w:tc>
      </w:tr>
      <w:tr w:rsidR="003A4474" w:rsidRPr="003A4474" w14:paraId="2348A87B" w14:textId="77777777" w:rsidTr="003A4474">
        <w:tc>
          <w:tcPr>
            <w:tcW w:w="0" w:type="auto"/>
            <w:shd w:val="clear" w:color="auto" w:fill="FFFFFF"/>
            <w:vAlign w:val="center"/>
            <w:hideMark/>
          </w:tcPr>
          <w:p w14:paraId="442ED722" w14:textId="77777777" w:rsidR="003A4474" w:rsidRPr="003A4474" w:rsidRDefault="003A4474" w:rsidP="003A4474">
            <w:r w:rsidRPr="003A4474">
              <w:t>Humatos potásicos solubles en agua extraídos de leonardita.</w:t>
            </w:r>
          </w:p>
        </w:tc>
        <w:tc>
          <w:tcPr>
            <w:tcW w:w="0" w:type="auto"/>
            <w:shd w:val="clear" w:color="auto" w:fill="FFFFFF"/>
            <w:vAlign w:val="center"/>
            <w:hideMark/>
          </w:tcPr>
          <w:p w14:paraId="54001C40" w14:textId="77777777" w:rsidR="003A4474" w:rsidRPr="003A4474" w:rsidRDefault="003A4474" w:rsidP="003A4474"/>
        </w:tc>
      </w:tr>
      <w:tr w:rsidR="003A4474" w:rsidRPr="003A4474" w14:paraId="4496E3DF" w14:textId="77777777" w:rsidTr="003A4474">
        <w:tc>
          <w:tcPr>
            <w:tcW w:w="0" w:type="auto"/>
            <w:shd w:val="clear" w:color="auto" w:fill="FFFFFF"/>
            <w:vAlign w:val="center"/>
            <w:hideMark/>
          </w:tcPr>
          <w:p w14:paraId="3574395F" w14:textId="77777777" w:rsidR="003A4474" w:rsidRPr="003A4474" w:rsidRDefault="003A4474" w:rsidP="003A4474">
            <w:r w:rsidRPr="003A4474">
              <w:t>pH</w:t>
            </w:r>
          </w:p>
        </w:tc>
        <w:tc>
          <w:tcPr>
            <w:tcW w:w="0" w:type="auto"/>
            <w:shd w:val="clear" w:color="auto" w:fill="FFFFFF"/>
            <w:vAlign w:val="center"/>
            <w:hideMark/>
          </w:tcPr>
          <w:p w14:paraId="46C9BE50" w14:textId="77777777" w:rsidR="003A4474" w:rsidRPr="003A4474" w:rsidRDefault="003A4474" w:rsidP="003A4474">
            <w:r w:rsidRPr="003A4474">
              <w:t>9.4</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3A4474"/>
    <w:rsid w:val="004E40CD"/>
    <w:rsid w:val="009F0251"/>
    <w:rsid w:val="00BB475E"/>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731388231">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67834384">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9038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solidos/30-micro-vita.html" TargetMode="External"/><Relationship Id="rId5" Type="http://schemas.openxmlformats.org/officeDocument/2006/relationships/hyperlink" Target="https://topcropfert.com/download/es/tabla_E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369</Words>
  <Characters>2030</Characters>
  <Application>Microsoft Office Word</Application>
  <DocSecurity>0</DocSecurity>
  <Lines>16</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9</cp:revision>
  <dcterms:created xsi:type="dcterms:W3CDTF">2022-11-07T15:25:00Z</dcterms:created>
  <dcterms:modified xsi:type="dcterms:W3CDTF">2022-11-22T12:57:00Z</dcterms:modified>
</cp:coreProperties>
</file>