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6097" w14:textId="1E3567E2" w:rsidR="00026EEA" w:rsidRPr="00026EEA" w:rsidRDefault="00026EEA" w:rsidP="00026EEA">
      <w:r>
        <w:rPr>
          <w:b/>
          <w:bCs/>
        </w:rPr>
        <w:t>DESCRIP</w:t>
      </w:r>
      <w:r w:rsidR="00926239">
        <w:rPr>
          <w:b/>
          <w:bCs/>
        </w:rPr>
        <w:t>TION</w:t>
      </w:r>
    </w:p>
    <w:p w14:paraId="69D01034" w14:textId="77777777" w:rsidR="00117598" w:rsidRPr="00117598" w:rsidRDefault="00117598" w:rsidP="00117598">
      <w:r w:rsidRPr="00117598">
        <w:rPr>
          <w:b/>
          <w:bCs/>
        </w:rPr>
        <w:t>Deeper Underground</w:t>
      </w:r>
      <w:r w:rsidRPr="00117598">
        <w:t> by </w:t>
      </w:r>
      <w:r w:rsidRPr="00117598">
        <w:rPr>
          <w:b/>
          <w:bCs/>
        </w:rPr>
        <w:t>Top Crop</w:t>
      </w:r>
      <w:r w:rsidRPr="00117598">
        <w:t> is a liquid fertilizer formulated to stimulate the growth and root development of plants. With the use of Deeper Underground, at least once a week according to watering, you will significantly increase the number of root hairs. As well as many other benefits that we explain below.</w:t>
      </w:r>
    </w:p>
    <w:p w14:paraId="6E0A9AA4" w14:textId="77777777" w:rsidR="00117598" w:rsidRPr="00117598" w:rsidRDefault="00117598" w:rsidP="00117598">
      <w:r w:rsidRPr="00117598">
        <w:t>Deeper Underground’s composition means it can be used from the very early days, on seedlings, with nearly immediate results.</w:t>
      </w:r>
    </w:p>
    <w:p w14:paraId="27DB7A2B" w14:textId="77777777" w:rsidR="00117598" w:rsidRPr="00117598" w:rsidRDefault="00117598" w:rsidP="00117598">
      <w:r w:rsidRPr="00117598">
        <w:rPr>
          <w:b/>
          <w:bCs/>
        </w:rPr>
        <w:t>HOW TO USE DEEPER UNDERGROUND FROM TOP CROP</w:t>
      </w:r>
    </w:p>
    <w:p w14:paraId="29EA8F60" w14:textId="77777777" w:rsidR="00117598" w:rsidRPr="00117598" w:rsidRDefault="00117598" w:rsidP="00117598">
      <w:r w:rsidRPr="00117598">
        <w:t>Always start with the smallest dose on the product label. In this case, the initial dose is 1 ml/l and Deeper Underground by Top Crop should be used through irrigation.</w:t>
      </w:r>
    </w:p>
    <w:p w14:paraId="268B21DB" w14:textId="77777777" w:rsidR="00117598" w:rsidRPr="00117598" w:rsidRDefault="00117598" w:rsidP="00117598">
      <w:r w:rsidRPr="00117598">
        <w:t>You can increase the dose to 2 ml/l on the following watering. Always watch your plants to see how they assimilate nutrients and decide whether it is necessary to raise the dose.</w:t>
      </w:r>
    </w:p>
    <w:p w14:paraId="429E8914" w14:textId="77777777" w:rsidR="00117598" w:rsidRPr="00117598" w:rsidRDefault="00117598" w:rsidP="00117598">
      <w:r w:rsidRPr="00117598">
        <w:t>Deeper Underground by Top Crop reduces plant stress after transplant and revitalises roots damaged during the process. It also boosts organic content in the soil, helping better aerate it. Remember, you can extend use until the plant starts to flower, but only once a week.</w:t>
      </w:r>
    </w:p>
    <w:p w14:paraId="56FD98C9" w14:textId="77777777" w:rsidR="00117598" w:rsidRPr="00117598" w:rsidRDefault="00117598" w:rsidP="00117598">
      <w:r w:rsidRPr="00117598">
        <w:rPr>
          <w:b/>
          <w:bCs/>
        </w:rPr>
        <w:t>TIPS</w:t>
      </w:r>
    </w:p>
    <w:p w14:paraId="59DB2CA9" w14:textId="77777777" w:rsidR="00117598" w:rsidRPr="00117598" w:rsidRDefault="00117598" w:rsidP="00117598">
      <w:r w:rsidRPr="00117598">
        <w:t>You can combine Deeper Underground with other Top Crop fertilizers for the growth and/or rooting phase, such as </w:t>
      </w:r>
      <w:hyperlink r:id="rId5" w:history="1">
        <w:r w:rsidRPr="00117598">
          <w:rPr>
            <w:rStyle w:val="Hipervnculo"/>
          </w:rPr>
          <w:t>Micro Vita</w:t>
        </w:r>
      </w:hyperlink>
      <w:r w:rsidRPr="00117598">
        <w:t>.</w:t>
      </w:r>
    </w:p>
    <w:p w14:paraId="484D40D6" w14:textId="77777777" w:rsidR="00117598" w:rsidRPr="00117598" w:rsidRDefault="00117598" w:rsidP="00117598">
      <w:r w:rsidRPr="00117598">
        <w:t>We recommend storing this fertilizer in a dry place, out of direct sunlight. This will help maintain the quality of the product. Shake the product well before each use.</w:t>
      </w:r>
    </w:p>
    <w:p w14:paraId="56BD2BBB" w14:textId="77777777" w:rsidR="00117598" w:rsidRPr="00117598" w:rsidRDefault="00117598" w:rsidP="00117598">
      <w:r w:rsidRPr="00117598">
        <w:rPr>
          <w:b/>
          <w:bCs/>
        </w:rPr>
        <w:t>FORMATS</w:t>
      </w:r>
    </w:p>
    <w:p w14:paraId="3243848B" w14:textId="77777777" w:rsidR="00117598" w:rsidRPr="00117598" w:rsidRDefault="00117598" w:rsidP="00117598">
      <w:r w:rsidRPr="00117598">
        <w:t>You’ll find Deeper Underground at your favourite growshop in 250mL, 1L and 5L.</w:t>
      </w:r>
    </w:p>
    <w:p w14:paraId="7ADA2D43" w14:textId="0301FCDD" w:rsidR="00E61204" w:rsidRDefault="000E522E">
      <w:r>
        <w:rPr>
          <w:b/>
          <w:bCs/>
        </w:rPr>
        <w:t>C</w:t>
      </w:r>
      <w:r w:rsidR="00026EEA">
        <w:rPr>
          <w:b/>
          <w:bCs/>
        </w:rPr>
        <w:t>OMPOSI</w:t>
      </w:r>
      <w:r w:rsidR="00926239">
        <w:rPr>
          <w:b/>
          <w:bCs/>
        </w:rPr>
        <w:t>TION</w:t>
      </w:r>
    </w:p>
    <w:p w14:paraId="793AE5FF" w14:textId="77777777" w:rsidR="00A54140" w:rsidRPr="00A54140" w:rsidRDefault="00A54140" w:rsidP="00A54140">
      <w:r w:rsidRPr="00A54140">
        <w:t>Contains micronutrients, such as boron (B), Copper (Cu), iron (Fe), manganese (Mn) and zinc (Zn).</w:t>
      </w:r>
    </w:p>
    <w:p w14:paraId="63966D9B" w14:textId="77777777" w:rsidR="00A54140" w:rsidRPr="00A54140" w:rsidRDefault="00A54140" w:rsidP="00A54140">
      <w:r w:rsidRPr="00A54140">
        <w:t>Guaranteed riches P/P</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4755"/>
        <w:gridCol w:w="36"/>
      </w:tblGrid>
      <w:tr w:rsidR="00A54140" w:rsidRPr="00A54140" w14:paraId="60A55F26" w14:textId="77777777" w:rsidTr="00A54140">
        <w:tc>
          <w:tcPr>
            <w:tcW w:w="0" w:type="auto"/>
            <w:shd w:val="clear" w:color="auto" w:fill="FFFFFF"/>
            <w:vAlign w:val="center"/>
            <w:hideMark/>
          </w:tcPr>
          <w:tbl>
            <w:tblPr>
              <w:tblW w:w="4725" w:type="dxa"/>
              <w:tblCellMar>
                <w:top w:w="15" w:type="dxa"/>
                <w:left w:w="15" w:type="dxa"/>
                <w:bottom w:w="15" w:type="dxa"/>
                <w:right w:w="15" w:type="dxa"/>
              </w:tblCellMar>
              <w:tblLook w:val="04A0" w:firstRow="1" w:lastRow="0" w:firstColumn="1" w:lastColumn="0" w:noHBand="0" w:noVBand="1"/>
            </w:tblPr>
            <w:tblGrid>
              <w:gridCol w:w="4159"/>
              <w:gridCol w:w="566"/>
            </w:tblGrid>
            <w:tr w:rsidR="00A54140" w:rsidRPr="00A54140" w14:paraId="71665A69" w14:textId="77777777">
              <w:tc>
                <w:tcPr>
                  <w:tcW w:w="0" w:type="auto"/>
                  <w:shd w:val="clear" w:color="auto" w:fill="auto"/>
                  <w:vAlign w:val="center"/>
                  <w:hideMark/>
                </w:tcPr>
                <w:p w14:paraId="1CF7CAD2" w14:textId="77777777" w:rsidR="00A54140" w:rsidRPr="00A54140" w:rsidRDefault="00A54140" w:rsidP="00A54140">
                  <w:r w:rsidRPr="00A54140">
                    <w:t>Magnesium Oxide (MgO) water-soluble:</w:t>
                  </w:r>
                </w:p>
              </w:tc>
              <w:tc>
                <w:tcPr>
                  <w:tcW w:w="0" w:type="auto"/>
                  <w:shd w:val="clear" w:color="auto" w:fill="auto"/>
                  <w:vAlign w:val="center"/>
                  <w:hideMark/>
                </w:tcPr>
                <w:p w14:paraId="692CA943" w14:textId="77777777" w:rsidR="00A54140" w:rsidRPr="00A54140" w:rsidRDefault="00A54140" w:rsidP="00A54140">
                  <w:r w:rsidRPr="00A54140">
                    <w:t>1.0% </w:t>
                  </w:r>
                </w:p>
              </w:tc>
            </w:tr>
            <w:tr w:rsidR="00A54140" w:rsidRPr="00A54140" w14:paraId="65D2A835" w14:textId="77777777">
              <w:tc>
                <w:tcPr>
                  <w:tcW w:w="0" w:type="auto"/>
                  <w:shd w:val="clear" w:color="auto" w:fill="auto"/>
                  <w:vAlign w:val="center"/>
                  <w:hideMark/>
                </w:tcPr>
                <w:p w14:paraId="7EA75DA2" w14:textId="77777777" w:rsidR="00A54140" w:rsidRPr="00A54140" w:rsidRDefault="00A54140" w:rsidP="00A54140">
                  <w:r w:rsidRPr="00A54140">
                    <w:t>Magnesium Oxide (MgO) chelated by</w:t>
                  </w:r>
                </w:p>
              </w:tc>
              <w:tc>
                <w:tcPr>
                  <w:tcW w:w="0" w:type="auto"/>
                  <w:shd w:val="clear" w:color="auto" w:fill="auto"/>
                  <w:vAlign w:val="center"/>
                  <w:hideMark/>
                </w:tcPr>
                <w:p w14:paraId="75C01AD7" w14:textId="77777777" w:rsidR="00A54140" w:rsidRPr="00A54140" w:rsidRDefault="00A54140" w:rsidP="00A54140">
                  <w:r w:rsidRPr="00A54140">
                    <w:t>1.0% </w:t>
                  </w:r>
                </w:p>
              </w:tc>
            </w:tr>
            <w:tr w:rsidR="00A54140" w:rsidRPr="00A54140" w14:paraId="0D62EB5C" w14:textId="77777777">
              <w:tc>
                <w:tcPr>
                  <w:tcW w:w="0" w:type="auto"/>
                  <w:shd w:val="clear" w:color="auto" w:fill="auto"/>
                  <w:vAlign w:val="center"/>
                  <w:hideMark/>
                </w:tcPr>
                <w:p w14:paraId="5D8BEE11" w14:textId="77777777" w:rsidR="00A54140" w:rsidRPr="00A54140" w:rsidRDefault="00A54140" w:rsidP="00A54140">
                  <w:r w:rsidRPr="00A54140">
                    <w:t>Total humic extract:</w:t>
                  </w:r>
                </w:p>
              </w:tc>
              <w:tc>
                <w:tcPr>
                  <w:tcW w:w="0" w:type="auto"/>
                  <w:shd w:val="clear" w:color="auto" w:fill="auto"/>
                  <w:vAlign w:val="center"/>
                  <w:hideMark/>
                </w:tcPr>
                <w:p w14:paraId="5C38E2D5" w14:textId="77777777" w:rsidR="00A54140" w:rsidRPr="00A54140" w:rsidRDefault="00A54140" w:rsidP="00A54140">
                  <w:r w:rsidRPr="00A54140">
                    <w:t>7.0% </w:t>
                  </w:r>
                </w:p>
              </w:tc>
            </w:tr>
            <w:tr w:rsidR="00A54140" w:rsidRPr="00A54140" w14:paraId="08F2188C" w14:textId="77777777">
              <w:tc>
                <w:tcPr>
                  <w:tcW w:w="0" w:type="auto"/>
                  <w:shd w:val="clear" w:color="auto" w:fill="auto"/>
                  <w:vAlign w:val="center"/>
                  <w:hideMark/>
                </w:tcPr>
                <w:p w14:paraId="26EBE411" w14:textId="77777777" w:rsidR="00A54140" w:rsidRPr="00A54140" w:rsidRDefault="00A54140" w:rsidP="00A54140">
                  <w:r w:rsidRPr="00A54140">
                    <w:t>Humic Acid:</w:t>
                  </w:r>
                </w:p>
              </w:tc>
              <w:tc>
                <w:tcPr>
                  <w:tcW w:w="0" w:type="auto"/>
                  <w:shd w:val="clear" w:color="auto" w:fill="auto"/>
                  <w:vAlign w:val="center"/>
                  <w:hideMark/>
                </w:tcPr>
                <w:p w14:paraId="42992A21" w14:textId="77777777" w:rsidR="00A54140" w:rsidRPr="00A54140" w:rsidRDefault="00A54140" w:rsidP="00A54140">
                  <w:r w:rsidRPr="00A54140">
                    <w:t>4.0%</w:t>
                  </w:r>
                </w:p>
              </w:tc>
            </w:tr>
            <w:tr w:rsidR="00A54140" w:rsidRPr="00A54140" w14:paraId="4B11EDBC" w14:textId="77777777">
              <w:tc>
                <w:tcPr>
                  <w:tcW w:w="0" w:type="auto"/>
                  <w:shd w:val="clear" w:color="auto" w:fill="auto"/>
                  <w:vAlign w:val="center"/>
                  <w:hideMark/>
                </w:tcPr>
                <w:p w14:paraId="4AA45D32" w14:textId="77777777" w:rsidR="00A54140" w:rsidRPr="00A54140" w:rsidRDefault="00A54140" w:rsidP="00A54140">
                  <w:r w:rsidRPr="00A54140">
                    <w:t>Fulvic Acid:</w:t>
                  </w:r>
                </w:p>
              </w:tc>
              <w:tc>
                <w:tcPr>
                  <w:tcW w:w="0" w:type="auto"/>
                  <w:shd w:val="clear" w:color="auto" w:fill="auto"/>
                  <w:vAlign w:val="center"/>
                  <w:hideMark/>
                </w:tcPr>
                <w:p w14:paraId="1E9812B2" w14:textId="77777777" w:rsidR="00A54140" w:rsidRPr="00A54140" w:rsidRDefault="00A54140" w:rsidP="00A54140">
                  <w:r w:rsidRPr="00A54140">
                    <w:t> 3.0% </w:t>
                  </w:r>
                </w:p>
              </w:tc>
            </w:tr>
            <w:tr w:rsidR="00A54140" w:rsidRPr="00A54140" w14:paraId="166DF80A" w14:textId="77777777">
              <w:tc>
                <w:tcPr>
                  <w:tcW w:w="0" w:type="auto"/>
                  <w:shd w:val="clear" w:color="auto" w:fill="auto"/>
                  <w:vAlign w:val="center"/>
                  <w:hideMark/>
                </w:tcPr>
                <w:p w14:paraId="09DA328C" w14:textId="77777777" w:rsidR="00A54140" w:rsidRPr="00A54140" w:rsidRDefault="00A54140" w:rsidP="00A54140">
                  <w:r w:rsidRPr="00A54140">
                    <w:t>Water soluble potassium humates extracted from leonardite.</w:t>
                  </w:r>
                </w:p>
              </w:tc>
              <w:tc>
                <w:tcPr>
                  <w:tcW w:w="0" w:type="auto"/>
                  <w:shd w:val="clear" w:color="auto" w:fill="auto"/>
                  <w:vAlign w:val="center"/>
                  <w:hideMark/>
                </w:tcPr>
                <w:p w14:paraId="12D1D1E5" w14:textId="77777777" w:rsidR="00A54140" w:rsidRPr="00A54140" w:rsidRDefault="00A54140" w:rsidP="00A54140"/>
              </w:tc>
            </w:tr>
            <w:tr w:rsidR="00A54140" w:rsidRPr="00A54140" w14:paraId="77682D2C" w14:textId="77777777">
              <w:tc>
                <w:tcPr>
                  <w:tcW w:w="0" w:type="auto"/>
                  <w:shd w:val="clear" w:color="auto" w:fill="auto"/>
                  <w:vAlign w:val="center"/>
                  <w:hideMark/>
                </w:tcPr>
                <w:p w14:paraId="13D153CE" w14:textId="77777777" w:rsidR="00A54140" w:rsidRPr="00A54140" w:rsidRDefault="00A54140" w:rsidP="00A54140">
                  <w:r w:rsidRPr="00A54140">
                    <w:t>pH</w:t>
                  </w:r>
                </w:p>
              </w:tc>
              <w:tc>
                <w:tcPr>
                  <w:tcW w:w="0" w:type="auto"/>
                  <w:shd w:val="clear" w:color="auto" w:fill="auto"/>
                  <w:vAlign w:val="center"/>
                  <w:hideMark/>
                </w:tcPr>
                <w:p w14:paraId="6088B3D7" w14:textId="77777777" w:rsidR="00A54140" w:rsidRPr="00A54140" w:rsidRDefault="00A54140" w:rsidP="00A54140">
                  <w:r w:rsidRPr="00A54140">
                    <w:t>9.4</w:t>
                  </w:r>
                </w:p>
              </w:tc>
            </w:tr>
          </w:tbl>
          <w:p w14:paraId="7299EAAA" w14:textId="77777777" w:rsidR="00A54140" w:rsidRPr="00A54140" w:rsidRDefault="00A54140" w:rsidP="00A54140"/>
        </w:tc>
        <w:tc>
          <w:tcPr>
            <w:tcW w:w="0" w:type="auto"/>
            <w:shd w:val="clear" w:color="auto" w:fill="FFFFFF"/>
            <w:vAlign w:val="center"/>
            <w:hideMark/>
          </w:tcPr>
          <w:p w14:paraId="15CC7B5D" w14:textId="77777777" w:rsidR="00A54140" w:rsidRPr="00A54140" w:rsidRDefault="00A54140" w:rsidP="00A54140"/>
        </w:tc>
      </w:tr>
      <w:tr w:rsidR="00A54140" w:rsidRPr="00A54140" w14:paraId="0A2B11CA" w14:textId="77777777" w:rsidTr="00A54140">
        <w:tc>
          <w:tcPr>
            <w:tcW w:w="0" w:type="auto"/>
            <w:shd w:val="clear" w:color="auto" w:fill="FFFFFF"/>
            <w:vAlign w:val="center"/>
            <w:hideMark/>
          </w:tcPr>
          <w:p w14:paraId="43400FC5" w14:textId="77777777" w:rsidR="00A54140" w:rsidRPr="00A54140" w:rsidRDefault="00A54140" w:rsidP="00A54140"/>
        </w:tc>
        <w:tc>
          <w:tcPr>
            <w:tcW w:w="0" w:type="auto"/>
            <w:shd w:val="clear" w:color="auto" w:fill="FFFFFF"/>
            <w:vAlign w:val="center"/>
            <w:hideMark/>
          </w:tcPr>
          <w:p w14:paraId="0BA9BFAD" w14:textId="77777777" w:rsidR="00A54140" w:rsidRPr="00A54140" w:rsidRDefault="00A54140" w:rsidP="00A54140"/>
        </w:tc>
      </w:tr>
      <w:tr w:rsidR="00A54140" w:rsidRPr="00A54140" w14:paraId="418E9B5B" w14:textId="77777777" w:rsidTr="00A54140">
        <w:tc>
          <w:tcPr>
            <w:tcW w:w="0" w:type="auto"/>
            <w:shd w:val="clear" w:color="auto" w:fill="FFFFFF"/>
            <w:vAlign w:val="center"/>
            <w:hideMark/>
          </w:tcPr>
          <w:p w14:paraId="31561FDE" w14:textId="77777777" w:rsidR="00A54140" w:rsidRPr="00A54140" w:rsidRDefault="00A54140" w:rsidP="00A54140"/>
        </w:tc>
        <w:tc>
          <w:tcPr>
            <w:tcW w:w="0" w:type="auto"/>
            <w:shd w:val="clear" w:color="auto" w:fill="FFFFFF"/>
            <w:vAlign w:val="center"/>
            <w:hideMark/>
          </w:tcPr>
          <w:p w14:paraId="501144F0" w14:textId="77777777" w:rsidR="00A54140" w:rsidRPr="00A54140" w:rsidRDefault="00A54140" w:rsidP="00A54140"/>
        </w:tc>
      </w:tr>
      <w:tr w:rsidR="00A54140" w:rsidRPr="00A54140" w14:paraId="457DA929" w14:textId="77777777" w:rsidTr="00A54140">
        <w:tc>
          <w:tcPr>
            <w:tcW w:w="0" w:type="auto"/>
            <w:shd w:val="clear" w:color="auto" w:fill="FFFFFF"/>
            <w:vAlign w:val="center"/>
            <w:hideMark/>
          </w:tcPr>
          <w:p w14:paraId="16EAC8AE" w14:textId="77777777" w:rsidR="00A54140" w:rsidRPr="00A54140" w:rsidRDefault="00A54140" w:rsidP="00A54140"/>
        </w:tc>
        <w:tc>
          <w:tcPr>
            <w:tcW w:w="0" w:type="auto"/>
            <w:shd w:val="clear" w:color="auto" w:fill="FFFFFF"/>
            <w:vAlign w:val="center"/>
            <w:hideMark/>
          </w:tcPr>
          <w:p w14:paraId="48216DCA" w14:textId="77777777" w:rsidR="00A54140" w:rsidRPr="00A54140" w:rsidRDefault="00A54140" w:rsidP="00A54140"/>
        </w:tc>
      </w:tr>
      <w:tr w:rsidR="00A54140" w:rsidRPr="00A54140" w14:paraId="559E63F5" w14:textId="77777777" w:rsidTr="00A54140">
        <w:tc>
          <w:tcPr>
            <w:tcW w:w="0" w:type="auto"/>
            <w:shd w:val="clear" w:color="auto" w:fill="FFFFFF"/>
            <w:vAlign w:val="center"/>
            <w:hideMark/>
          </w:tcPr>
          <w:p w14:paraId="00CF6E61" w14:textId="77777777" w:rsidR="00A54140" w:rsidRPr="00A54140" w:rsidRDefault="00A54140" w:rsidP="00A54140"/>
        </w:tc>
        <w:tc>
          <w:tcPr>
            <w:tcW w:w="0" w:type="auto"/>
            <w:shd w:val="clear" w:color="auto" w:fill="FFFFFF"/>
            <w:vAlign w:val="center"/>
            <w:hideMark/>
          </w:tcPr>
          <w:p w14:paraId="30CA229B" w14:textId="77777777" w:rsidR="00A54140" w:rsidRPr="00A54140" w:rsidRDefault="00A54140" w:rsidP="00A54140"/>
        </w:tc>
      </w:tr>
      <w:tr w:rsidR="00A54140" w:rsidRPr="00A54140" w14:paraId="3851850C" w14:textId="77777777" w:rsidTr="00A54140">
        <w:tc>
          <w:tcPr>
            <w:tcW w:w="0" w:type="auto"/>
            <w:shd w:val="clear" w:color="auto" w:fill="FFFFFF"/>
            <w:vAlign w:val="center"/>
            <w:hideMark/>
          </w:tcPr>
          <w:p w14:paraId="386D9691" w14:textId="77777777" w:rsidR="00A54140" w:rsidRPr="00A54140" w:rsidRDefault="00A54140" w:rsidP="00A54140"/>
        </w:tc>
        <w:tc>
          <w:tcPr>
            <w:tcW w:w="0" w:type="auto"/>
            <w:shd w:val="clear" w:color="auto" w:fill="FFFFFF"/>
            <w:vAlign w:val="center"/>
            <w:hideMark/>
          </w:tcPr>
          <w:p w14:paraId="5F3611B0" w14:textId="77777777" w:rsidR="00A54140" w:rsidRPr="00A54140" w:rsidRDefault="00A54140" w:rsidP="00A54140"/>
        </w:tc>
      </w:tr>
      <w:tr w:rsidR="00A54140" w:rsidRPr="00A54140" w14:paraId="46834768" w14:textId="77777777" w:rsidTr="00A54140">
        <w:tc>
          <w:tcPr>
            <w:tcW w:w="0" w:type="auto"/>
            <w:shd w:val="clear" w:color="auto" w:fill="FFFFFF"/>
            <w:vAlign w:val="center"/>
            <w:hideMark/>
          </w:tcPr>
          <w:p w14:paraId="2A69FDB8" w14:textId="77777777" w:rsidR="00A54140" w:rsidRPr="00A54140" w:rsidRDefault="00A54140" w:rsidP="00A54140"/>
        </w:tc>
        <w:tc>
          <w:tcPr>
            <w:tcW w:w="0" w:type="auto"/>
            <w:shd w:val="clear" w:color="auto" w:fill="FFFFFF"/>
            <w:vAlign w:val="center"/>
            <w:hideMark/>
          </w:tcPr>
          <w:p w14:paraId="3F3745F3" w14:textId="77777777" w:rsidR="00A54140" w:rsidRPr="00A54140" w:rsidRDefault="00A54140" w:rsidP="00A54140"/>
        </w:tc>
      </w:tr>
    </w:tbl>
    <w:p w14:paraId="548B109E" w14:textId="77777777" w:rsidR="00026EEA" w:rsidRDefault="00026EEA"/>
    <w:sectPr w:rsidR="00026EE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A2E5F"/>
    <w:multiLevelType w:val="multilevel"/>
    <w:tmpl w:val="6CA45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172162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EA"/>
    <w:rsid w:val="00026EEA"/>
    <w:rsid w:val="00075B2E"/>
    <w:rsid w:val="000E522E"/>
    <w:rsid w:val="00117598"/>
    <w:rsid w:val="00926239"/>
    <w:rsid w:val="00A54140"/>
    <w:rsid w:val="00E02A04"/>
    <w:rsid w:val="00E612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05D4"/>
  <w15:chartTrackingRefBased/>
  <w15:docId w15:val="{0E603CFA-C2DD-4C14-874C-71D2661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6E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26EEA"/>
    <w:rPr>
      <w:color w:val="0000FF"/>
      <w:u w:val="single"/>
    </w:rPr>
  </w:style>
  <w:style w:type="character" w:styleId="Mencinsinresolver">
    <w:name w:val="Unresolved Mention"/>
    <w:basedOn w:val="Fuentedeprrafopredeter"/>
    <w:uiPriority w:val="99"/>
    <w:semiHidden/>
    <w:unhideWhenUsed/>
    <w:rsid w:val="00026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39485">
      <w:bodyDiv w:val="1"/>
      <w:marLeft w:val="0"/>
      <w:marRight w:val="0"/>
      <w:marTop w:val="0"/>
      <w:marBottom w:val="0"/>
      <w:divBdr>
        <w:top w:val="none" w:sz="0" w:space="0" w:color="auto"/>
        <w:left w:val="none" w:sz="0" w:space="0" w:color="auto"/>
        <w:bottom w:val="none" w:sz="0" w:space="0" w:color="auto"/>
        <w:right w:val="none" w:sz="0" w:space="0" w:color="auto"/>
      </w:divBdr>
    </w:div>
    <w:div w:id="122700557">
      <w:bodyDiv w:val="1"/>
      <w:marLeft w:val="0"/>
      <w:marRight w:val="0"/>
      <w:marTop w:val="0"/>
      <w:marBottom w:val="0"/>
      <w:divBdr>
        <w:top w:val="none" w:sz="0" w:space="0" w:color="auto"/>
        <w:left w:val="none" w:sz="0" w:space="0" w:color="auto"/>
        <w:bottom w:val="none" w:sz="0" w:space="0" w:color="auto"/>
        <w:right w:val="none" w:sz="0" w:space="0" w:color="auto"/>
      </w:divBdr>
    </w:div>
    <w:div w:id="148405265">
      <w:bodyDiv w:val="1"/>
      <w:marLeft w:val="0"/>
      <w:marRight w:val="0"/>
      <w:marTop w:val="0"/>
      <w:marBottom w:val="0"/>
      <w:divBdr>
        <w:top w:val="none" w:sz="0" w:space="0" w:color="auto"/>
        <w:left w:val="none" w:sz="0" w:space="0" w:color="auto"/>
        <w:bottom w:val="none" w:sz="0" w:space="0" w:color="auto"/>
        <w:right w:val="none" w:sz="0" w:space="0" w:color="auto"/>
      </w:divBdr>
    </w:div>
    <w:div w:id="421031363">
      <w:bodyDiv w:val="1"/>
      <w:marLeft w:val="0"/>
      <w:marRight w:val="0"/>
      <w:marTop w:val="0"/>
      <w:marBottom w:val="0"/>
      <w:divBdr>
        <w:top w:val="none" w:sz="0" w:space="0" w:color="auto"/>
        <w:left w:val="none" w:sz="0" w:space="0" w:color="auto"/>
        <w:bottom w:val="none" w:sz="0" w:space="0" w:color="auto"/>
        <w:right w:val="none" w:sz="0" w:space="0" w:color="auto"/>
      </w:divBdr>
    </w:div>
    <w:div w:id="470947837">
      <w:bodyDiv w:val="1"/>
      <w:marLeft w:val="0"/>
      <w:marRight w:val="0"/>
      <w:marTop w:val="0"/>
      <w:marBottom w:val="0"/>
      <w:divBdr>
        <w:top w:val="none" w:sz="0" w:space="0" w:color="auto"/>
        <w:left w:val="none" w:sz="0" w:space="0" w:color="auto"/>
        <w:bottom w:val="none" w:sz="0" w:space="0" w:color="auto"/>
        <w:right w:val="none" w:sz="0" w:space="0" w:color="auto"/>
      </w:divBdr>
    </w:div>
    <w:div w:id="578180247">
      <w:bodyDiv w:val="1"/>
      <w:marLeft w:val="0"/>
      <w:marRight w:val="0"/>
      <w:marTop w:val="0"/>
      <w:marBottom w:val="0"/>
      <w:divBdr>
        <w:top w:val="none" w:sz="0" w:space="0" w:color="auto"/>
        <w:left w:val="none" w:sz="0" w:space="0" w:color="auto"/>
        <w:bottom w:val="none" w:sz="0" w:space="0" w:color="auto"/>
        <w:right w:val="none" w:sz="0" w:space="0" w:color="auto"/>
      </w:divBdr>
    </w:div>
    <w:div w:id="906646763">
      <w:bodyDiv w:val="1"/>
      <w:marLeft w:val="0"/>
      <w:marRight w:val="0"/>
      <w:marTop w:val="0"/>
      <w:marBottom w:val="0"/>
      <w:divBdr>
        <w:top w:val="none" w:sz="0" w:space="0" w:color="auto"/>
        <w:left w:val="none" w:sz="0" w:space="0" w:color="auto"/>
        <w:bottom w:val="none" w:sz="0" w:space="0" w:color="auto"/>
        <w:right w:val="none" w:sz="0" w:space="0" w:color="auto"/>
      </w:divBdr>
    </w:div>
    <w:div w:id="1402291259">
      <w:bodyDiv w:val="1"/>
      <w:marLeft w:val="0"/>
      <w:marRight w:val="0"/>
      <w:marTop w:val="0"/>
      <w:marBottom w:val="0"/>
      <w:divBdr>
        <w:top w:val="none" w:sz="0" w:space="0" w:color="auto"/>
        <w:left w:val="none" w:sz="0" w:space="0" w:color="auto"/>
        <w:bottom w:val="none" w:sz="0" w:space="0" w:color="auto"/>
        <w:right w:val="none" w:sz="0" w:space="0" w:color="auto"/>
      </w:divBdr>
    </w:div>
    <w:div w:id="1432622732">
      <w:bodyDiv w:val="1"/>
      <w:marLeft w:val="0"/>
      <w:marRight w:val="0"/>
      <w:marTop w:val="0"/>
      <w:marBottom w:val="0"/>
      <w:divBdr>
        <w:top w:val="none" w:sz="0" w:space="0" w:color="auto"/>
        <w:left w:val="none" w:sz="0" w:space="0" w:color="auto"/>
        <w:bottom w:val="none" w:sz="0" w:space="0" w:color="auto"/>
        <w:right w:val="none" w:sz="0" w:space="0" w:color="auto"/>
      </w:divBdr>
    </w:div>
    <w:div w:id="1625621633">
      <w:bodyDiv w:val="1"/>
      <w:marLeft w:val="0"/>
      <w:marRight w:val="0"/>
      <w:marTop w:val="0"/>
      <w:marBottom w:val="0"/>
      <w:divBdr>
        <w:top w:val="none" w:sz="0" w:space="0" w:color="auto"/>
        <w:left w:val="none" w:sz="0" w:space="0" w:color="auto"/>
        <w:bottom w:val="none" w:sz="0" w:space="0" w:color="auto"/>
        <w:right w:val="none" w:sz="0" w:space="0" w:color="auto"/>
      </w:divBdr>
    </w:div>
    <w:div w:id="1651404990">
      <w:bodyDiv w:val="1"/>
      <w:marLeft w:val="0"/>
      <w:marRight w:val="0"/>
      <w:marTop w:val="0"/>
      <w:marBottom w:val="0"/>
      <w:divBdr>
        <w:top w:val="none" w:sz="0" w:space="0" w:color="auto"/>
        <w:left w:val="none" w:sz="0" w:space="0" w:color="auto"/>
        <w:bottom w:val="none" w:sz="0" w:space="0" w:color="auto"/>
        <w:right w:val="none" w:sz="0" w:space="0" w:color="auto"/>
      </w:divBdr>
    </w:div>
    <w:div w:id="1698652533">
      <w:bodyDiv w:val="1"/>
      <w:marLeft w:val="0"/>
      <w:marRight w:val="0"/>
      <w:marTop w:val="0"/>
      <w:marBottom w:val="0"/>
      <w:divBdr>
        <w:top w:val="none" w:sz="0" w:space="0" w:color="auto"/>
        <w:left w:val="none" w:sz="0" w:space="0" w:color="auto"/>
        <w:bottom w:val="none" w:sz="0" w:space="0" w:color="auto"/>
        <w:right w:val="none" w:sz="0" w:space="0" w:color="auto"/>
      </w:divBdr>
    </w:div>
    <w:div w:id="1988629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topcropfert.com/shop/gb/solid-fertilizers/30-micro-vita.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301</Words>
  <Characters>1660</Characters>
  <Application>Microsoft Office Word</Application>
  <DocSecurity>0</DocSecurity>
  <Lines>13</Lines>
  <Paragraphs>3</Paragraphs>
  <ScaleCrop>false</ScaleCrop>
  <Company/>
  <LinksUpToDate>false</LinksUpToDate>
  <CharactersWithSpaces>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Pastor</dc:creator>
  <cp:keywords/>
  <dc:description/>
  <cp:lastModifiedBy>Fran Pastor</cp:lastModifiedBy>
  <cp:revision>10</cp:revision>
  <dcterms:created xsi:type="dcterms:W3CDTF">2022-11-07T15:25:00Z</dcterms:created>
  <dcterms:modified xsi:type="dcterms:W3CDTF">2022-11-22T12:58:00Z</dcterms:modified>
</cp:coreProperties>
</file>