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67A03934" w14:textId="77777777" w:rsidR="004C2850" w:rsidRPr="004C2850" w:rsidRDefault="004C2850" w:rsidP="004C2850">
      <w:r w:rsidRPr="004C2850">
        <w:rPr>
          <w:b/>
          <w:bCs/>
        </w:rPr>
        <w:t>Top Auto</w:t>
      </w:r>
      <w:r w:rsidRPr="004C2850">
        <w:t> de </w:t>
      </w:r>
      <w:r w:rsidRPr="004C2850">
        <w:rPr>
          <w:b/>
          <w:bCs/>
        </w:rPr>
        <w:t>Top Crop</w:t>
      </w:r>
      <w:r w:rsidRPr="004C2850">
        <w:t> es un fertilizante líquido rico en NPK (Nitrógeno, Fósforo y Potasio) especialmente formulado para plantas autoflorecientes. Es decir, Top Auto cubre todas las necesidades de tu planta, desde el crecimiento hasta la floración. ¡Con Top Auto lo tienes todo en un solo producto! Tus plantas no encontrarán mejor aliado para un crecimiento explosivo y una floración exuberante.</w:t>
      </w:r>
    </w:p>
    <w:p w14:paraId="08BF6486" w14:textId="77777777" w:rsidR="004C2850" w:rsidRPr="004C2850" w:rsidRDefault="004C2850" w:rsidP="004C2850">
      <w:r w:rsidRPr="004C2850">
        <w:t>Lo mejor de este fertilizante de Top Crop son sus resultados finales. Con Top Auto obtendrás grandes y densos cogollos. De rápida absorción, este producto es también apto para la jardinería doméstica.</w:t>
      </w:r>
    </w:p>
    <w:p w14:paraId="318019FC" w14:textId="77777777" w:rsidR="004C2850" w:rsidRPr="004C2850" w:rsidRDefault="004C2850" w:rsidP="004C2850">
      <w:r w:rsidRPr="004C2850">
        <w:rPr>
          <w:b/>
          <w:bCs/>
        </w:rPr>
        <w:t>CÓMO USAR TOP AUTO DE TOP CROP</w:t>
      </w:r>
    </w:p>
    <w:p w14:paraId="1A719FF5" w14:textId="77777777" w:rsidR="004C2850" w:rsidRPr="004C2850" w:rsidRDefault="004C2850" w:rsidP="004C2850">
      <w:r w:rsidRPr="004C2850">
        <w:t>Top Auto se diluye con el riego de tus plantas, respetando las dosis indicadas en la etiqueta del producto. Empezaremos su aplicación en la tercera semana de vida de nuestra planta, que corresponde al inicio de la fase de crecimiento. Siempre usando la dosis mínima 2,5ml por 1 litro de agua para ir progresivamente aumentándola en los siguientes riegos, hasta llegar al máximo de 3,5ml por 1 litro de agua. En la primera semana de crecimiento es suficiente con una dosis más baja (1-1,5 ml/L).</w:t>
      </w:r>
    </w:p>
    <w:p w14:paraId="14123174" w14:textId="77777777" w:rsidR="004C2850" w:rsidRPr="004C2850" w:rsidRDefault="004C2850" w:rsidP="004C2850">
      <w:r w:rsidRPr="004C2850">
        <w:rPr>
          <w:b/>
          <w:bCs/>
        </w:rPr>
        <w:t>CONSEJOS</w:t>
      </w:r>
    </w:p>
    <w:p w14:paraId="18FFF281" w14:textId="77777777" w:rsidR="004C2850" w:rsidRPr="004C2850" w:rsidRDefault="004C2850" w:rsidP="004C2850">
      <w:r w:rsidRPr="004C2850">
        <w:t>Recuerda que debes usar Top Auto una vez por semana, ya que se trata de un fertilizante concentrado. Para mayores resultados te recomendamos combinarlo con otros fertilizantes de floración Top Crop como </w:t>
      </w:r>
      <w:hyperlink r:id="rId5" w:history="1">
        <w:r w:rsidRPr="004C2850">
          <w:rPr>
            <w:rStyle w:val="Hipervnculo"/>
          </w:rPr>
          <w:t>Top Bud</w:t>
        </w:r>
      </w:hyperlink>
      <w:r w:rsidRPr="004C2850">
        <w:t>, </w:t>
      </w:r>
      <w:hyperlink r:id="rId6" w:history="1">
        <w:r w:rsidRPr="004C2850">
          <w:rPr>
            <w:rStyle w:val="Hipervnculo"/>
          </w:rPr>
          <w:t>Top Candy</w:t>
        </w:r>
      </w:hyperlink>
      <w:r w:rsidRPr="004C2850">
        <w:t> y </w:t>
      </w:r>
      <w:hyperlink r:id="rId7" w:history="1">
        <w:r w:rsidRPr="004C2850">
          <w:rPr>
            <w:rStyle w:val="Hipervnculo"/>
          </w:rPr>
          <w:t>Big One</w:t>
        </w:r>
      </w:hyperlink>
      <w:r w:rsidRPr="004C2850">
        <w:t>.</w:t>
      </w:r>
    </w:p>
    <w:p w14:paraId="2E06FDA8" w14:textId="77777777" w:rsidR="004C2850" w:rsidRPr="004C2850" w:rsidRDefault="004C2850" w:rsidP="004C2850">
      <w:r w:rsidRPr="004C2850">
        <w:t>Si quieres saber más sobre otros productos de la gama Top Crop echa un vistazo a nuestro canal de </w:t>
      </w:r>
      <w:hyperlink r:id="rId8" w:history="1">
        <w:r w:rsidRPr="004C2850">
          <w:rPr>
            <w:rStyle w:val="Hipervnculo"/>
          </w:rPr>
          <w:t>YouTube</w:t>
        </w:r>
      </w:hyperlink>
      <w:r w:rsidRPr="004C2850">
        <w:t>.</w:t>
      </w:r>
    </w:p>
    <w:p w14:paraId="5D3DD1BF" w14:textId="77777777" w:rsidR="004C2850" w:rsidRPr="004C2850" w:rsidRDefault="004C2850" w:rsidP="004C2850">
      <w:r w:rsidRPr="004C2850">
        <w:t>Te recomendamos que guardes este fertilizante en un lugar seco, evitando su exposición a la luz solar directa. Conservándolo así, mantendrás la calidad del producto.</w:t>
      </w:r>
    </w:p>
    <w:p w14:paraId="27A483AD" w14:textId="77777777" w:rsidR="004C2850" w:rsidRPr="004C2850" w:rsidRDefault="004C2850" w:rsidP="004C2850">
      <w:r w:rsidRPr="004C2850">
        <w:rPr>
          <w:b/>
          <w:bCs/>
        </w:rPr>
        <w:t>FORMATOS</w:t>
      </w:r>
    </w:p>
    <w:p w14:paraId="7796F09E" w14:textId="4D70B9A3" w:rsidR="004C2850" w:rsidRPr="004C2850" w:rsidRDefault="004C2850">
      <w:r w:rsidRPr="004C2850">
        <w:t>Encontrarás Top Auto en tu growshop de confianza en el siguiente formato: 250mL, 1L y 5L.</w:t>
      </w:r>
    </w:p>
    <w:p w14:paraId="7ADA2D43" w14:textId="69D6FC38" w:rsidR="00E61204" w:rsidRDefault="00026EEA">
      <w:r>
        <w:rPr>
          <w:b/>
          <w:bCs/>
        </w:rPr>
        <w:t>COMPOSICIÓN</w:t>
      </w:r>
    </w:p>
    <w:p w14:paraId="2FE8ECEC" w14:textId="77777777" w:rsidR="0033164C" w:rsidRPr="0033164C" w:rsidRDefault="0033164C" w:rsidP="0033164C">
      <w:r w:rsidRPr="0033164C">
        <w:t>RIQUEZAS GARANTIZADAS % (p/p)</w:t>
      </w:r>
    </w:p>
    <w:tbl>
      <w:tblPr>
        <w:tblW w:w="6435" w:type="dxa"/>
        <w:shd w:val="clear" w:color="auto" w:fill="FFFFFF"/>
        <w:tblCellMar>
          <w:top w:w="15" w:type="dxa"/>
          <w:left w:w="15" w:type="dxa"/>
          <w:bottom w:w="15" w:type="dxa"/>
          <w:right w:w="15" w:type="dxa"/>
        </w:tblCellMar>
        <w:tblLook w:val="04A0" w:firstRow="1" w:lastRow="0" w:firstColumn="1" w:lastColumn="0" w:noHBand="0" w:noVBand="1"/>
      </w:tblPr>
      <w:tblGrid>
        <w:gridCol w:w="4358"/>
        <w:gridCol w:w="2077"/>
      </w:tblGrid>
      <w:tr w:rsidR="0033164C" w:rsidRPr="0033164C" w14:paraId="25480B5D" w14:textId="77777777" w:rsidTr="0033164C">
        <w:tc>
          <w:tcPr>
            <w:tcW w:w="0" w:type="auto"/>
            <w:shd w:val="clear" w:color="auto" w:fill="FFFFFF"/>
            <w:vAlign w:val="center"/>
            <w:hideMark/>
          </w:tcPr>
          <w:p w14:paraId="15D5E3C4" w14:textId="77777777" w:rsidR="0033164C" w:rsidRPr="0033164C" w:rsidRDefault="0033164C" w:rsidP="0033164C">
            <w:r w:rsidRPr="0033164C">
              <w:t>Nitrógeno (N) total:</w:t>
            </w:r>
          </w:p>
        </w:tc>
        <w:tc>
          <w:tcPr>
            <w:tcW w:w="0" w:type="auto"/>
            <w:shd w:val="clear" w:color="auto" w:fill="FFFFFF"/>
            <w:vAlign w:val="center"/>
            <w:hideMark/>
          </w:tcPr>
          <w:p w14:paraId="498F9B5D" w14:textId="77777777" w:rsidR="0033164C" w:rsidRPr="0033164C" w:rsidRDefault="0033164C" w:rsidP="0033164C">
            <w:r w:rsidRPr="0033164C">
              <w:t>3.5 %</w:t>
            </w:r>
          </w:p>
        </w:tc>
      </w:tr>
      <w:tr w:rsidR="0033164C" w:rsidRPr="0033164C" w14:paraId="67EF42D5" w14:textId="77777777" w:rsidTr="0033164C">
        <w:tc>
          <w:tcPr>
            <w:tcW w:w="0" w:type="auto"/>
            <w:shd w:val="clear" w:color="auto" w:fill="FFFFFF"/>
            <w:vAlign w:val="center"/>
            <w:hideMark/>
          </w:tcPr>
          <w:p w14:paraId="57E8BAB0" w14:textId="77777777" w:rsidR="0033164C" w:rsidRPr="0033164C" w:rsidRDefault="0033164C" w:rsidP="0033164C">
            <w:r w:rsidRPr="0033164C">
              <w:t>Nitrógeno (N) ureico:</w:t>
            </w:r>
          </w:p>
        </w:tc>
        <w:tc>
          <w:tcPr>
            <w:tcW w:w="0" w:type="auto"/>
            <w:shd w:val="clear" w:color="auto" w:fill="FFFFFF"/>
            <w:vAlign w:val="center"/>
            <w:hideMark/>
          </w:tcPr>
          <w:p w14:paraId="164ECBDB" w14:textId="77777777" w:rsidR="0033164C" w:rsidRPr="0033164C" w:rsidRDefault="0033164C" w:rsidP="0033164C">
            <w:r w:rsidRPr="0033164C">
              <w:t>3.3 % </w:t>
            </w:r>
          </w:p>
        </w:tc>
      </w:tr>
      <w:tr w:rsidR="0033164C" w:rsidRPr="0033164C" w14:paraId="15A69489" w14:textId="77777777" w:rsidTr="0033164C">
        <w:tc>
          <w:tcPr>
            <w:tcW w:w="0" w:type="auto"/>
            <w:shd w:val="clear" w:color="auto" w:fill="FFFFFF"/>
            <w:vAlign w:val="center"/>
            <w:hideMark/>
          </w:tcPr>
          <w:p w14:paraId="60E3E102" w14:textId="77777777" w:rsidR="0033164C" w:rsidRPr="0033164C" w:rsidRDefault="0033164C" w:rsidP="0033164C">
            <w:r w:rsidRPr="0033164C">
              <w:t>Pentóxido de fósforo (P2O5) soluble en agua:</w:t>
            </w:r>
          </w:p>
        </w:tc>
        <w:tc>
          <w:tcPr>
            <w:tcW w:w="0" w:type="auto"/>
            <w:shd w:val="clear" w:color="auto" w:fill="FFFFFF"/>
            <w:vAlign w:val="center"/>
            <w:hideMark/>
          </w:tcPr>
          <w:p w14:paraId="213BFEB1" w14:textId="77777777" w:rsidR="0033164C" w:rsidRPr="0033164C" w:rsidRDefault="0033164C" w:rsidP="0033164C">
            <w:r w:rsidRPr="0033164C">
              <w:t>5.3% </w:t>
            </w:r>
          </w:p>
        </w:tc>
      </w:tr>
      <w:tr w:rsidR="0033164C" w:rsidRPr="0033164C" w14:paraId="0CD8FAA8" w14:textId="77777777" w:rsidTr="0033164C">
        <w:tc>
          <w:tcPr>
            <w:tcW w:w="0" w:type="auto"/>
            <w:shd w:val="clear" w:color="auto" w:fill="FFFFFF"/>
            <w:vAlign w:val="center"/>
            <w:hideMark/>
          </w:tcPr>
          <w:p w14:paraId="329D0325" w14:textId="77777777" w:rsidR="0033164C" w:rsidRPr="0033164C" w:rsidRDefault="0033164C" w:rsidP="0033164C">
            <w:r w:rsidRPr="0033164C">
              <w:t>Oxido de potasio (K2O) soluble en agua:</w:t>
            </w:r>
          </w:p>
        </w:tc>
        <w:tc>
          <w:tcPr>
            <w:tcW w:w="0" w:type="auto"/>
            <w:shd w:val="clear" w:color="auto" w:fill="FFFFFF"/>
            <w:vAlign w:val="center"/>
            <w:hideMark/>
          </w:tcPr>
          <w:p w14:paraId="4C8E5ED5" w14:textId="77777777" w:rsidR="0033164C" w:rsidRPr="0033164C" w:rsidRDefault="0033164C" w:rsidP="0033164C">
            <w:r w:rsidRPr="0033164C">
              <w:t>5.0% </w:t>
            </w:r>
          </w:p>
        </w:tc>
      </w:tr>
      <w:tr w:rsidR="0033164C" w:rsidRPr="0033164C" w14:paraId="34BE1D8A" w14:textId="77777777" w:rsidTr="0033164C">
        <w:tc>
          <w:tcPr>
            <w:tcW w:w="0" w:type="auto"/>
            <w:shd w:val="clear" w:color="auto" w:fill="FFFFFF"/>
            <w:vAlign w:val="center"/>
            <w:hideMark/>
          </w:tcPr>
          <w:p w14:paraId="7B14BA5F" w14:textId="77777777" w:rsidR="0033164C" w:rsidRPr="0033164C" w:rsidRDefault="0033164C" w:rsidP="0033164C">
            <w:r w:rsidRPr="0033164C">
              <w:t>Boro (B) soluble en agua:</w:t>
            </w:r>
          </w:p>
        </w:tc>
        <w:tc>
          <w:tcPr>
            <w:tcW w:w="0" w:type="auto"/>
            <w:shd w:val="clear" w:color="auto" w:fill="FFFFFF"/>
            <w:vAlign w:val="center"/>
            <w:hideMark/>
          </w:tcPr>
          <w:p w14:paraId="653EC951" w14:textId="77777777" w:rsidR="0033164C" w:rsidRPr="0033164C" w:rsidRDefault="0033164C" w:rsidP="0033164C">
            <w:r w:rsidRPr="0033164C">
              <w:t>0.02% </w:t>
            </w:r>
          </w:p>
        </w:tc>
      </w:tr>
      <w:tr w:rsidR="0033164C" w:rsidRPr="0033164C" w14:paraId="0E3670D0" w14:textId="77777777" w:rsidTr="0033164C">
        <w:tc>
          <w:tcPr>
            <w:tcW w:w="0" w:type="auto"/>
            <w:shd w:val="clear" w:color="auto" w:fill="FFFFFF"/>
            <w:vAlign w:val="center"/>
            <w:hideMark/>
          </w:tcPr>
          <w:p w14:paraId="7C800D4C" w14:textId="77777777" w:rsidR="0033164C" w:rsidRPr="0033164C" w:rsidRDefault="0033164C" w:rsidP="0033164C">
            <w:r w:rsidRPr="0033164C">
              <w:t>Cobre (Cu) soluble en agua:</w:t>
            </w:r>
          </w:p>
        </w:tc>
        <w:tc>
          <w:tcPr>
            <w:tcW w:w="0" w:type="auto"/>
            <w:shd w:val="clear" w:color="auto" w:fill="FFFFFF"/>
            <w:vAlign w:val="center"/>
            <w:hideMark/>
          </w:tcPr>
          <w:p w14:paraId="578B1877" w14:textId="77777777" w:rsidR="0033164C" w:rsidRPr="0033164C" w:rsidRDefault="0033164C" w:rsidP="0033164C">
            <w:r w:rsidRPr="0033164C">
              <w:t>0.006% quelado por EDTA </w:t>
            </w:r>
          </w:p>
        </w:tc>
      </w:tr>
      <w:tr w:rsidR="0033164C" w:rsidRPr="0033164C" w14:paraId="165A0950" w14:textId="77777777" w:rsidTr="0033164C">
        <w:tc>
          <w:tcPr>
            <w:tcW w:w="0" w:type="auto"/>
            <w:shd w:val="clear" w:color="auto" w:fill="FFFFFF"/>
            <w:vAlign w:val="center"/>
            <w:hideMark/>
          </w:tcPr>
          <w:p w14:paraId="59929E66" w14:textId="77777777" w:rsidR="0033164C" w:rsidRPr="0033164C" w:rsidRDefault="0033164C" w:rsidP="0033164C">
            <w:r w:rsidRPr="0033164C">
              <w:lastRenderedPageBreak/>
              <w:t>Hierro (Fe) soluble en agua:</w:t>
            </w:r>
          </w:p>
        </w:tc>
        <w:tc>
          <w:tcPr>
            <w:tcW w:w="0" w:type="auto"/>
            <w:shd w:val="clear" w:color="auto" w:fill="FFFFFF"/>
            <w:vAlign w:val="center"/>
            <w:hideMark/>
          </w:tcPr>
          <w:p w14:paraId="68D389CA" w14:textId="77777777" w:rsidR="0033164C" w:rsidRPr="0033164C" w:rsidRDefault="0033164C" w:rsidP="0033164C">
            <w:r w:rsidRPr="0033164C">
              <w:t>0.07% quelado por EDDHSA</w:t>
            </w:r>
          </w:p>
        </w:tc>
      </w:tr>
      <w:tr w:rsidR="0033164C" w:rsidRPr="0033164C" w14:paraId="27C54D16" w14:textId="77777777" w:rsidTr="0033164C">
        <w:tc>
          <w:tcPr>
            <w:tcW w:w="0" w:type="auto"/>
            <w:shd w:val="clear" w:color="auto" w:fill="FFFFFF"/>
            <w:vAlign w:val="center"/>
            <w:hideMark/>
          </w:tcPr>
          <w:p w14:paraId="1724105E" w14:textId="77777777" w:rsidR="0033164C" w:rsidRPr="0033164C" w:rsidRDefault="0033164C" w:rsidP="0033164C">
            <w:r w:rsidRPr="0033164C">
              <w:t>Manganeso (Mn) soluble en agua:</w:t>
            </w:r>
          </w:p>
        </w:tc>
        <w:tc>
          <w:tcPr>
            <w:tcW w:w="0" w:type="auto"/>
            <w:shd w:val="clear" w:color="auto" w:fill="FFFFFF"/>
            <w:vAlign w:val="center"/>
            <w:hideMark/>
          </w:tcPr>
          <w:p w14:paraId="5D949281" w14:textId="77777777" w:rsidR="0033164C" w:rsidRPr="0033164C" w:rsidRDefault="0033164C" w:rsidP="0033164C">
            <w:r w:rsidRPr="0033164C">
              <w:t>0.03% quelado por EDTA </w:t>
            </w:r>
          </w:p>
        </w:tc>
      </w:tr>
      <w:tr w:rsidR="0033164C" w:rsidRPr="0033164C" w14:paraId="5EC52E44" w14:textId="77777777" w:rsidTr="0033164C">
        <w:tc>
          <w:tcPr>
            <w:tcW w:w="0" w:type="auto"/>
            <w:shd w:val="clear" w:color="auto" w:fill="FFFFFF"/>
            <w:vAlign w:val="center"/>
            <w:hideMark/>
          </w:tcPr>
          <w:p w14:paraId="572AFFE2" w14:textId="77777777" w:rsidR="0033164C" w:rsidRPr="0033164C" w:rsidRDefault="0033164C" w:rsidP="0033164C">
            <w:r w:rsidRPr="0033164C">
              <w:t>Zinc (Zn) soluble en agua:</w:t>
            </w:r>
          </w:p>
        </w:tc>
        <w:tc>
          <w:tcPr>
            <w:tcW w:w="0" w:type="auto"/>
            <w:shd w:val="clear" w:color="auto" w:fill="FFFFFF"/>
            <w:vAlign w:val="center"/>
            <w:hideMark/>
          </w:tcPr>
          <w:p w14:paraId="27A77877" w14:textId="77777777" w:rsidR="0033164C" w:rsidRPr="0033164C" w:rsidRDefault="0033164C" w:rsidP="0033164C">
            <w:r w:rsidRPr="0033164C">
              <w:t>0.017% quelado por EDTA</w:t>
            </w:r>
          </w:p>
        </w:tc>
      </w:tr>
      <w:tr w:rsidR="0033164C" w:rsidRPr="0033164C" w14:paraId="77B7FBD5" w14:textId="77777777" w:rsidTr="0033164C">
        <w:tc>
          <w:tcPr>
            <w:tcW w:w="0" w:type="auto"/>
            <w:shd w:val="clear" w:color="auto" w:fill="FFFFFF"/>
            <w:vAlign w:val="center"/>
            <w:hideMark/>
          </w:tcPr>
          <w:p w14:paraId="4D8CDA04" w14:textId="77777777" w:rsidR="0033164C" w:rsidRPr="0033164C" w:rsidRDefault="0033164C" w:rsidP="0033164C">
            <w:r w:rsidRPr="0033164C">
              <w:t>Extracto húmico total:</w:t>
            </w:r>
          </w:p>
        </w:tc>
        <w:tc>
          <w:tcPr>
            <w:tcW w:w="0" w:type="auto"/>
            <w:shd w:val="clear" w:color="auto" w:fill="FFFFFF"/>
            <w:vAlign w:val="center"/>
            <w:hideMark/>
          </w:tcPr>
          <w:p w14:paraId="2F94BA33" w14:textId="77777777" w:rsidR="0033164C" w:rsidRPr="0033164C" w:rsidRDefault="0033164C" w:rsidP="0033164C">
            <w:r w:rsidRPr="0033164C">
              <w:t>7.0% </w:t>
            </w:r>
          </w:p>
        </w:tc>
      </w:tr>
      <w:tr w:rsidR="0033164C" w:rsidRPr="0033164C" w14:paraId="575B25E1" w14:textId="77777777" w:rsidTr="0033164C">
        <w:tc>
          <w:tcPr>
            <w:tcW w:w="0" w:type="auto"/>
            <w:shd w:val="clear" w:color="auto" w:fill="FFFFFF"/>
            <w:vAlign w:val="center"/>
            <w:hideMark/>
          </w:tcPr>
          <w:p w14:paraId="68451B41" w14:textId="77777777" w:rsidR="0033164C" w:rsidRPr="0033164C" w:rsidRDefault="0033164C" w:rsidP="0033164C">
            <w:r w:rsidRPr="0033164C">
              <w:t>Ácidos húmicos:</w:t>
            </w:r>
          </w:p>
        </w:tc>
        <w:tc>
          <w:tcPr>
            <w:tcW w:w="0" w:type="auto"/>
            <w:shd w:val="clear" w:color="auto" w:fill="FFFFFF"/>
            <w:vAlign w:val="center"/>
            <w:hideMark/>
          </w:tcPr>
          <w:p w14:paraId="3E3376A3" w14:textId="77777777" w:rsidR="0033164C" w:rsidRPr="0033164C" w:rsidRDefault="0033164C" w:rsidP="0033164C">
            <w:r w:rsidRPr="0033164C">
              <w:t>4.0% </w:t>
            </w:r>
          </w:p>
        </w:tc>
      </w:tr>
      <w:tr w:rsidR="0033164C" w:rsidRPr="0033164C" w14:paraId="16B9571B" w14:textId="77777777" w:rsidTr="0033164C">
        <w:tc>
          <w:tcPr>
            <w:tcW w:w="0" w:type="auto"/>
            <w:shd w:val="clear" w:color="auto" w:fill="FFFFFF"/>
            <w:vAlign w:val="center"/>
            <w:hideMark/>
          </w:tcPr>
          <w:p w14:paraId="5EC8FA55" w14:textId="77777777" w:rsidR="0033164C" w:rsidRPr="0033164C" w:rsidRDefault="0033164C" w:rsidP="0033164C">
            <w:r w:rsidRPr="0033164C">
              <w:t>Ácidos fúlvicos:</w:t>
            </w:r>
          </w:p>
        </w:tc>
        <w:tc>
          <w:tcPr>
            <w:tcW w:w="0" w:type="auto"/>
            <w:shd w:val="clear" w:color="auto" w:fill="FFFFFF"/>
            <w:vAlign w:val="center"/>
            <w:hideMark/>
          </w:tcPr>
          <w:p w14:paraId="5F3887A9" w14:textId="77777777" w:rsidR="0033164C" w:rsidRPr="0033164C" w:rsidRDefault="0033164C" w:rsidP="0033164C">
            <w:r w:rsidRPr="0033164C">
              <w:t>3.0%</w:t>
            </w:r>
          </w:p>
        </w:tc>
      </w:tr>
      <w:tr w:rsidR="0033164C" w:rsidRPr="0033164C" w14:paraId="73FF484F" w14:textId="77777777" w:rsidTr="0033164C">
        <w:tc>
          <w:tcPr>
            <w:tcW w:w="0" w:type="auto"/>
            <w:shd w:val="clear" w:color="auto" w:fill="FFFFFF"/>
            <w:vAlign w:val="center"/>
            <w:hideMark/>
          </w:tcPr>
          <w:p w14:paraId="5F4F722F" w14:textId="77777777" w:rsidR="0033164C" w:rsidRPr="0033164C" w:rsidRDefault="0033164C" w:rsidP="0033164C">
            <w:r w:rsidRPr="0033164C">
              <w:t>Humatos potásicos solubles en agua extraídos de leonardita.</w:t>
            </w:r>
          </w:p>
        </w:tc>
        <w:tc>
          <w:tcPr>
            <w:tcW w:w="0" w:type="auto"/>
            <w:shd w:val="clear" w:color="auto" w:fill="FFFFFF"/>
            <w:vAlign w:val="center"/>
            <w:hideMark/>
          </w:tcPr>
          <w:p w14:paraId="05DC6AF1" w14:textId="77777777" w:rsidR="0033164C" w:rsidRPr="0033164C" w:rsidRDefault="0033164C" w:rsidP="0033164C"/>
        </w:tc>
      </w:tr>
      <w:tr w:rsidR="0033164C" w:rsidRPr="0033164C" w14:paraId="7E2E659C" w14:textId="77777777" w:rsidTr="0033164C">
        <w:tc>
          <w:tcPr>
            <w:tcW w:w="0" w:type="auto"/>
            <w:shd w:val="clear" w:color="auto" w:fill="FFFFFF"/>
            <w:vAlign w:val="center"/>
            <w:hideMark/>
          </w:tcPr>
          <w:p w14:paraId="2385F7B6" w14:textId="77777777" w:rsidR="0033164C" w:rsidRPr="0033164C" w:rsidRDefault="0033164C" w:rsidP="0033164C">
            <w:r w:rsidRPr="0033164C">
              <w:t>pH</w:t>
            </w:r>
          </w:p>
        </w:tc>
        <w:tc>
          <w:tcPr>
            <w:tcW w:w="0" w:type="auto"/>
            <w:shd w:val="clear" w:color="auto" w:fill="FFFFFF"/>
            <w:vAlign w:val="center"/>
            <w:hideMark/>
          </w:tcPr>
          <w:p w14:paraId="657CC214" w14:textId="77777777" w:rsidR="0033164C" w:rsidRPr="0033164C" w:rsidRDefault="0033164C" w:rsidP="0033164C">
            <w:r w:rsidRPr="0033164C">
              <w:t> 6.5 </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33164C"/>
    <w:rsid w:val="004C2850"/>
    <w:rsid w:val="004E40CD"/>
    <w:rsid w:val="00BB475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0950">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61579500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74421421">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76580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I6jiodEhSPt3Wqf1VEnXJQ" TargetMode="External"/><Relationship Id="rId3" Type="http://schemas.openxmlformats.org/officeDocument/2006/relationships/settings" Target="settings.xml"/><Relationship Id="rId7" Type="http://schemas.openxmlformats.org/officeDocument/2006/relationships/hyperlink" Target="https://topcropfert.com/shop/es/fertilizantes-liquidos/8-big-o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51-top-candy.html" TargetMode="External"/><Relationship Id="rId5" Type="http://schemas.openxmlformats.org/officeDocument/2006/relationships/hyperlink" Target="https://topcropfert.com/shop/es/fertilizantes-liquidos/13-top-bud.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412</Words>
  <Characters>2272</Characters>
  <Application>Microsoft Office Word</Application>
  <DocSecurity>0</DocSecurity>
  <Lines>18</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2022-11-22T12:40:00Z</dcterms:modified>
</cp:coreProperties>
</file>